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C6A69" w14:textId="29890A83" w:rsidR="00D63A7A" w:rsidRPr="005D5FC0" w:rsidRDefault="000050A1" w:rsidP="00D63A7A">
      <w:pPr>
        <w:pStyle w:val="Header1-underline"/>
      </w:pPr>
      <w:bookmarkStart w:id="0" w:name="TitleOfCommittee"/>
      <w:r>
        <w:t>Entry Customer Forum</w:t>
      </w:r>
    </w:p>
    <w:bookmarkEnd w:id="0"/>
    <w:p w14:paraId="3934E9E2" w14:textId="6DEAFB6F" w:rsidR="002034B7" w:rsidRPr="002034B7" w:rsidRDefault="002034B7" w:rsidP="002034B7">
      <w:pPr>
        <w:pStyle w:val="SUBHEADING"/>
      </w:pPr>
      <w:r w:rsidRPr="002034B7">
        <w:t>MINUTES</w:t>
      </w:r>
    </w:p>
    <w:p w14:paraId="329F4CC4" w14:textId="2F6F554C" w:rsidR="0050338D" w:rsidRDefault="00FA657E" w:rsidP="003D171C">
      <w:pPr>
        <w:pStyle w:val="Subheader2"/>
      </w:pPr>
      <w:bookmarkStart w:id="1" w:name="DateTime"/>
      <w:r>
        <w:t>Tuesday</w:t>
      </w:r>
      <w:r w:rsidR="000050A1">
        <w:t xml:space="preserve"> 28</w:t>
      </w:r>
      <w:r w:rsidR="00366250" w:rsidRPr="003C060A">
        <w:t xml:space="preserve"> </w:t>
      </w:r>
      <w:r>
        <w:t>March</w:t>
      </w:r>
      <w:r w:rsidR="00366250" w:rsidRPr="003C060A">
        <w:t xml:space="preserve"> 202</w:t>
      </w:r>
      <w:r w:rsidR="00886DCD">
        <w:t>3</w:t>
      </w:r>
      <w:r w:rsidR="00366250" w:rsidRPr="003C060A">
        <w:t xml:space="preserve"> at 1</w:t>
      </w:r>
      <w:r w:rsidR="000050A1">
        <w:t>2</w:t>
      </w:r>
      <w:r w:rsidR="00366250" w:rsidRPr="003C060A">
        <w:t>.</w:t>
      </w:r>
      <w:r w:rsidR="000050A1">
        <w:t>30P</w:t>
      </w:r>
      <w:r>
        <w:t>M</w:t>
      </w:r>
      <w:r w:rsidR="00366250" w:rsidRPr="003C060A">
        <w:t xml:space="preserve"> – </w:t>
      </w:r>
      <w:r w:rsidR="000050A1">
        <w:t>2.00P</w:t>
      </w:r>
      <w:r>
        <w:t>M</w:t>
      </w:r>
    </w:p>
    <w:bookmarkEnd w:id="1"/>
    <w:p w14:paraId="70236599" w14:textId="677E0F70" w:rsidR="00400C41" w:rsidRPr="003C060A" w:rsidRDefault="00400C41" w:rsidP="003D171C">
      <w:pPr>
        <w:pStyle w:val="Subheader2"/>
      </w:pPr>
      <w:r>
        <w:t>MS Teams Meeting</w:t>
      </w:r>
    </w:p>
    <w:p w14:paraId="18774A3A" w14:textId="405DCE06" w:rsidR="003D171C" w:rsidRPr="003D171C" w:rsidRDefault="002034B7" w:rsidP="00F4406B">
      <w:pPr>
        <w:pStyle w:val="SUBHEADING"/>
      </w:pPr>
      <w:r>
        <w:t>ATTENDEES</w:t>
      </w:r>
    </w:p>
    <w:tbl>
      <w:tblPr>
        <w:tblW w:w="8647" w:type="dxa"/>
        <w:tblBorders>
          <w:top w:val="single" w:sz="2" w:space="0" w:color="A6ACA9" w:themeColor="background2"/>
          <w:left w:val="single" w:sz="2" w:space="0" w:color="A6ACA9" w:themeColor="background2"/>
          <w:bottom w:val="single" w:sz="2" w:space="0" w:color="A6ACA9" w:themeColor="background2"/>
          <w:right w:val="single" w:sz="2" w:space="0" w:color="A6ACA9" w:themeColor="background2"/>
          <w:insideH w:val="single" w:sz="2" w:space="0" w:color="A6ACA9" w:themeColor="background2"/>
          <w:insideV w:val="single" w:sz="2" w:space="0" w:color="A6ACA9" w:themeColor="background2"/>
        </w:tblBorders>
        <w:tblLook w:val="0420" w:firstRow="1" w:lastRow="0" w:firstColumn="0" w:lastColumn="0" w:noHBand="0" w:noVBand="1"/>
      </w:tblPr>
      <w:tblGrid>
        <w:gridCol w:w="3534"/>
        <w:gridCol w:w="1516"/>
        <w:gridCol w:w="3597"/>
      </w:tblGrid>
      <w:tr w:rsidR="00C7465F" w:rsidRPr="00232395" w14:paraId="29E4E290" w14:textId="77777777" w:rsidTr="00AF777A">
        <w:trPr>
          <w:trHeight w:val="482"/>
        </w:trPr>
        <w:tc>
          <w:tcPr>
            <w:tcW w:w="3534" w:type="dxa"/>
            <w:shd w:val="clear" w:color="auto" w:fill="009FE3" w:themeFill="accent4"/>
            <w:vAlign w:val="center"/>
          </w:tcPr>
          <w:p w14:paraId="7B5659DA" w14:textId="77777777" w:rsidR="00C7465F" w:rsidRPr="00232395" w:rsidRDefault="00C7465F" w:rsidP="0035282C">
            <w:pP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Name</w:t>
            </w:r>
          </w:p>
        </w:tc>
        <w:tc>
          <w:tcPr>
            <w:tcW w:w="1516" w:type="dxa"/>
            <w:shd w:val="clear" w:color="auto" w:fill="009FE3" w:themeFill="accent4"/>
            <w:vAlign w:val="center"/>
          </w:tcPr>
          <w:p w14:paraId="3AC1FF20" w14:textId="77777777" w:rsidR="00C7465F" w:rsidRPr="00232395" w:rsidRDefault="00C7465F" w:rsidP="0035282C">
            <w:pP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Initials</w:t>
            </w:r>
          </w:p>
        </w:tc>
        <w:tc>
          <w:tcPr>
            <w:tcW w:w="3597" w:type="dxa"/>
            <w:shd w:val="clear" w:color="auto" w:fill="009FE3" w:themeFill="accent4"/>
            <w:vAlign w:val="center"/>
          </w:tcPr>
          <w:p w14:paraId="3F653D13" w14:textId="77777777" w:rsidR="00C7465F" w:rsidRPr="00232395" w:rsidRDefault="00C7465F" w:rsidP="0035282C">
            <w:pP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 w:rsidRPr="00232395"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Com</w:t>
            </w: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pany</w:t>
            </w:r>
          </w:p>
        </w:tc>
      </w:tr>
      <w:tr w:rsidR="00C7465F" w:rsidRPr="00232395" w14:paraId="6A81B564" w14:textId="77777777" w:rsidTr="00C51491">
        <w:trPr>
          <w:trHeight w:val="482"/>
        </w:trPr>
        <w:tc>
          <w:tcPr>
            <w:tcW w:w="3534" w:type="dxa"/>
            <w:shd w:val="clear" w:color="auto" w:fill="E1F6FF"/>
            <w:vAlign w:val="center"/>
          </w:tcPr>
          <w:p w14:paraId="4CD46DED" w14:textId="77777777" w:rsidR="00C7465F" w:rsidRDefault="00C7465F" w:rsidP="002034B7">
            <w:r>
              <w:t>Charlotte Marcel</w:t>
            </w:r>
          </w:p>
        </w:tc>
        <w:tc>
          <w:tcPr>
            <w:tcW w:w="1516" w:type="dxa"/>
            <w:shd w:val="clear" w:color="auto" w:fill="E1F6FF"/>
            <w:vAlign w:val="center"/>
          </w:tcPr>
          <w:p w14:paraId="0C89FF1B" w14:textId="77777777" w:rsidR="00C7465F" w:rsidRDefault="00C7465F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CM</w:t>
            </w:r>
          </w:p>
        </w:tc>
        <w:tc>
          <w:tcPr>
            <w:tcW w:w="3597" w:type="dxa"/>
            <w:shd w:val="clear" w:color="auto" w:fill="E1F6FF"/>
            <w:vAlign w:val="center"/>
          </w:tcPr>
          <w:p w14:paraId="250C78C4" w14:textId="77777777" w:rsidR="00C7465F" w:rsidRDefault="00C7465F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ADBA</w:t>
            </w:r>
          </w:p>
        </w:tc>
      </w:tr>
      <w:tr w:rsidR="00C7465F" w:rsidRPr="00232395" w14:paraId="7074F684" w14:textId="77777777" w:rsidTr="00C51491">
        <w:trPr>
          <w:trHeight w:val="482"/>
        </w:trPr>
        <w:tc>
          <w:tcPr>
            <w:tcW w:w="3534" w:type="dxa"/>
            <w:shd w:val="clear" w:color="auto" w:fill="auto"/>
            <w:vAlign w:val="center"/>
          </w:tcPr>
          <w:p w14:paraId="0D18B465" w14:textId="77777777" w:rsidR="00C7465F" w:rsidRDefault="00C7465F" w:rsidP="002034B7">
            <w:r>
              <w:t>Lee Firth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07CD2BDC" w14:textId="77777777" w:rsidR="00C7465F" w:rsidRDefault="00C7465F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LF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65184DFE" w14:textId="77777777" w:rsidR="00C7465F" w:rsidRDefault="00C7465F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Biomethane Assist</w:t>
            </w:r>
          </w:p>
        </w:tc>
      </w:tr>
      <w:tr w:rsidR="00C7465F" w:rsidRPr="00232395" w14:paraId="4442B2D6" w14:textId="77777777" w:rsidTr="00C51491">
        <w:trPr>
          <w:trHeight w:val="482"/>
        </w:trPr>
        <w:tc>
          <w:tcPr>
            <w:tcW w:w="3534" w:type="dxa"/>
            <w:shd w:val="clear" w:color="auto" w:fill="E1F6FF"/>
            <w:vAlign w:val="center"/>
          </w:tcPr>
          <w:p w14:paraId="52221FB6" w14:textId="77777777" w:rsidR="00C7465F" w:rsidRDefault="00C7465F" w:rsidP="002034B7">
            <w:r>
              <w:t>Matthew Joinson</w:t>
            </w:r>
          </w:p>
        </w:tc>
        <w:tc>
          <w:tcPr>
            <w:tcW w:w="1516" w:type="dxa"/>
            <w:shd w:val="clear" w:color="auto" w:fill="E1F6FF"/>
            <w:vAlign w:val="center"/>
          </w:tcPr>
          <w:p w14:paraId="02276967" w14:textId="77777777" w:rsidR="00C7465F" w:rsidRDefault="00C7465F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MJ</w:t>
            </w:r>
          </w:p>
        </w:tc>
        <w:tc>
          <w:tcPr>
            <w:tcW w:w="3597" w:type="dxa"/>
            <w:shd w:val="clear" w:color="auto" w:fill="E1F6FF"/>
            <w:vAlign w:val="center"/>
          </w:tcPr>
          <w:p w14:paraId="3D03578E" w14:textId="77777777" w:rsidR="00C7465F" w:rsidRDefault="00C7465F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Cadent</w:t>
            </w:r>
          </w:p>
        </w:tc>
      </w:tr>
      <w:tr w:rsidR="00C7465F" w:rsidRPr="00232395" w14:paraId="54D87DB4" w14:textId="77777777" w:rsidTr="00C51491">
        <w:trPr>
          <w:trHeight w:val="482"/>
        </w:trPr>
        <w:tc>
          <w:tcPr>
            <w:tcW w:w="3534" w:type="dxa"/>
            <w:shd w:val="clear" w:color="auto" w:fill="auto"/>
            <w:vAlign w:val="center"/>
          </w:tcPr>
          <w:p w14:paraId="4DD39AD3" w14:textId="77777777" w:rsidR="00C7465F" w:rsidRDefault="00C7465F" w:rsidP="002034B7">
            <w:r>
              <w:t>Tina Hawke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49E77DBF" w14:textId="77777777" w:rsidR="00C7465F" w:rsidRDefault="00C7465F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TH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50CFF435" w14:textId="77777777" w:rsidR="00C7465F" w:rsidRDefault="00C7465F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Cadent</w:t>
            </w:r>
          </w:p>
        </w:tc>
      </w:tr>
      <w:tr w:rsidR="00C7465F" w:rsidRPr="00232395" w14:paraId="353DB63F" w14:textId="77777777" w:rsidTr="00C51491">
        <w:trPr>
          <w:trHeight w:val="482"/>
        </w:trPr>
        <w:tc>
          <w:tcPr>
            <w:tcW w:w="3534" w:type="dxa"/>
            <w:shd w:val="clear" w:color="auto" w:fill="E1F6FF"/>
            <w:vAlign w:val="center"/>
          </w:tcPr>
          <w:p w14:paraId="105B442D" w14:textId="77777777" w:rsidR="00C7465F" w:rsidRDefault="00C7465F" w:rsidP="002034B7">
            <w:r>
              <w:t>Alison Cartwright</w:t>
            </w:r>
          </w:p>
        </w:tc>
        <w:tc>
          <w:tcPr>
            <w:tcW w:w="1516" w:type="dxa"/>
            <w:shd w:val="clear" w:color="auto" w:fill="E1F6FF"/>
            <w:vAlign w:val="center"/>
          </w:tcPr>
          <w:p w14:paraId="18532766" w14:textId="77777777" w:rsidR="00C7465F" w:rsidRDefault="00C7465F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AC</w:t>
            </w:r>
          </w:p>
        </w:tc>
        <w:tc>
          <w:tcPr>
            <w:tcW w:w="3597" w:type="dxa"/>
            <w:shd w:val="clear" w:color="auto" w:fill="E1F6FF"/>
            <w:vAlign w:val="center"/>
          </w:tcPr>
          <w:p w14:paraId="491B3E9C" w14:textId="77777777" w:rsidR="00C7465F" w:rsidRDefault="00C7465F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CNG Services</w:t>
            </w:r>
          </w:p>
        </w:tc>
      </w:tr>
      <w:tr w:rsidR="00C7465F" w:rsidRPr="00232395" w14:paraId="7DFFED17" w14:textId="77777777" w:rsidTr="00C51491">
        <w:trPr>
          <w:trHeight w:val="482"/>
        </w:trPr>
        <w:tc>
          <w:tcPr>
            <w:tcW w:w="3534" w:type="dxa"/>
            <w:shd w:val="clear" w:color="auto" w:fill="auto"/>
            <w:vAlign w:val="center"/>
          </w:tcPr>
          <w:p w14:paraId="1B8564FB" w14:textId="77777777" w:rsidR="00C7465F" w:rsidRDefault="00C7465F" w:rsidP="002034B7">
            <w:r>
              <w:t>Philip Kershaw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677FBFB5" w14:textId="77777777" w:rsidR="00C7465F" w:rsidRDefault="00C7465F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PK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2AEA6A62" w14:textId="77777777" w:rsidR="00C7465F" w:rsidRDefault="00C7465F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CNG Services</w:t>
            </w:r>
          </w:p>
        </w:tc>
      </w:tr>
      <w:tr w:rsidR="00C7465F" w:rsidRPr="00232395" w14:paraId="3369CE66" w14:textId="77777777" w:rsidTr="00C51491">
        <w:trPr>
          <w:trHeight w:val="482"/>
        </w:trPr>
        <w:tc>
          <w:tcPr>
            <w:tcW w:w="3534" w:type="dxa"/>
            <w:shd w:val="clear" w:color="auto" w:fill="E1F6FF"/>
            <w:vAlign w:val="center"/>
          </w:tcPr>
          <w:p w14:paraId="5E379419" w14:textId="77777777" w:rsidR="00C7465F" w:rsidRDefault="00C7465F" w:rsidP="002034B7">
            <w:r>
              <w:t>James Earl</w:t>
            </w:r>
          </w:p>
        </w:tc>
        <w:tc>
          <w:tcPr>
            <w:tcW w:w="1516" w:type="dxa"/>
            <w:shd w:val="clear" w:color="auto" w:fill="E1F6FF"/>
            <w:vAlign w:val="center"/>
          </w:tcPr>
          <w:p w14:paraId="15396FF5" w14:textId="77777777" w:rsidR="00C7465F" w:rsidRDefault="00C7465F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JE</w:t>
            </w:r>
          </w:p>
        </w:tc>
        <w:tc>
          <w:tcPr>
            <w:tcW w:w="3597" w:type="dxa"/>
            <w:shd w:val="clear" w:color="auto" w:fill="E1F6FF"/>
            <w:vAlign w:val="center"/>
          </w:tcPr>
          <w:p w14:paraId="5788BA8E" w14:textId="77777777" w:rsidR="00C7465F" w:rsidRDefault="00C7465F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ENA</w:t>
            </w:r>
          </w:p>
        </w:tc>
      </w:tr>
      <w:tr w:rsidR="00C7465F" w:rsidRPr="00232395" w14:paraId="4F226265" w14:textId="77777777" w:rsidTr="00C51491">
        <w:trPr>
          <w:trHeight w:val="482"/>
        </w:trPr>
        <w:tc>
          <w:tcPr>
            <w:tcW w:w="3534" w:type="dxa"/>
            <w:shd w:val="clear" w:color="auto" w:fill="auto"/>
            <w:vAlign w:val="center"/>
          </w:tcPr>
          <w:p w14:paraId="7D1FFFB5" w14:textId="77777777" w:rsidR="00C7465F" w:rsidRPr="00232395" w:rsidRDefault="00C7465F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Matt Rosenfeld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4FA1CF18" w14:textId="77777777" w:rsidR="00C7465F" w:rsidRPr="00232395" w:rsidRDefault="00C7465F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MR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0D92ADCE" w14:textId="77777777" w:rsidR="00C7465F" w:rsidRPr="00232395" w:rsidRDefault="00C7465F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ENA</w:t>
            </w:r>
          </w:p>
        </w:tc>
      </w:tr>
      <w:tr w:rsidR="00C7465F" w:rsidRPr="00232395" w14:paraId="11DCBDD8" w14:textId="77777777" w:rsidTr="003D171C">
        <w:trPr>
          <w:trHeight w:val="482"/>
        </w:trPr>
        <w:tc>
          <w:tcPr>
            <w:tcW w:w="3534" w:type="dxa"/>
            <w:shd w:val="clear" w:color="auto" w:fill="E1F6FF"/>
            <w:vAlign w:val="center"/>
          </w:tcPr>
          <w:p w14:paraId="75259D1F" w14:textId="77777777" w:rsidR="00C7465F" w:rsidRDefault="00C7465F" w:rsidP="002034B7">
            <w:r>
              <w:t>Nick Primmer</w:t>
            </w:r>
          </w:p>
        </w:tc>
        <w:tc>
          <w:tcPr>
            <w:tcW w:w="1516" w:type="dxa"/>
            <w:shd w:val="clear" w:color="auto" w:fill="E1F6FF"/>
            <w:vAlign w:val="center"/>
          </w:tcPr>
          <w:p w14:paraId="3F09A5B3" w14:textId="77777777" w:rsidR="00C7465F" w:rsidRDefault="00C7465F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NP</w:t>
            </w:r>
          </w:p>
        </w:tc>
        <w:tc>
          <w:tcPr>
            <w:tcW w:w="3597" w:type="dxa"/>
            <w:shd w:val="clear" w:color="auto" w:fill="E1F6FF"/>
            <w:vAlign w:val="center"/>
          </w:tcPr>
          <w:p w14:paraId="70268C2E" w14:textId="77777777" w:rsidR="00C7465F" w:rsidRDefault="00C7465F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Future Biogas</w:t>
            </w:r>
          </w:p>
        </w:tc>
      </w:tr>
      <w:tr w:rsidR="00C7465F" w:rsidRPr="00232395" w14:paraId="00421605" w14:textId="77777777" w:rsidTr="00C51491">
        <w:trPr>
          <w:trHeight w:val="482"/>
        </w:trPr>
        <w:tc>
          <w:tcPr>
            <w:tcW w:w="3534" w:type="dxa"/>
            <w:shd w:val="clear" w:color="auto" w:fill="auto"/>
            <w:vAlign w:val="center"/>
          </w:tcPr>
          <w:p w14:paraId="5C6BC821" w14:textId="77777777" w:rsidR="00C7465F" w:rsidRDefault="00C7465F" w:rsidP="002034B7">
            <w:r>
              <w:t>Rebecca Hailes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2DE990D3" w14:textId="77777777" w:rsidR="00C7465F" w:rsidRDefault="00C7465F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RH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7465CBA3" w14:textId="38D4D4BE" w:rsidR="00C7465F" w:rsidRDefault="00C7465F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Joint Office</w:t>
            </w:r>
            <w:r w:rsidR="00EC7D19">
              <w:rPr>
                <w:rFonts w:cs="Tahoma"/>
                <w:bCs/>
                <w:szCs w:val="20"/>
                <w:lang w:eastAsia="en-US"/>
              </w:rPr>
              <w:t xml:space="preserve"> of Gas Transporters</w:t>
            </w:r>
          </w:p>
        </w:tc>
      </w:tr>
      <w:tr w:rsidR="00C7465F" w:rsidRPr="00232395" w14:paraId="056587E2" w14:textId="77777777" w:rsidTr="00C51491">
        <w:trPr>
          <w:trHeight w:val="482"/>
        </w:trPr>
        <w:tc>
          <w:tcPr>
            <w:tcW w:w="3534" w:type="dxa"/>
            <w:shd w:val="clear" w:color="auto" w:fill="E1F6FF"/>
            <w:vAlign w:val="center"/>
          </w:tcPr>
          <w:p w14:paraId="02535D37" w14:textId="77777777" w:rsidR="00C7465F" w:rsidRDefault="00C7465F" w:rsidP="002034B7">
            <w:r>
              <w:t>Shane Rafferty</w:t>
            </w:r>
          </w:p>
        </w:tc>
        <w:tc>
          <w:tcPr>
            <w:tcW w:w="1516" w:type="dxa"/>
            <w:shd w:val="clear" w:color="auto" w:fill="E1F6FF"/>
            <w:vAlign w:val="center"/>
          </w:tcPr>
          <w:p w14:paraId="532BBE94" w14:textId="77777777" w:rsidR="00C7465F" w:rsidRDefault="00C7465F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SR</w:t>
            </w:r>
          </w:p>
        </w:tc>
        <w:tc>
          <w:tcPr>
            <w:tcW w:w="3597" w:type="dxa"/>
            <w:shd w:val="clear" w:color="auto" w:fill="E1F6FF"/>
            <w:vAlign w:val="center"/>
          </w:tcPr>
          <w:p w14:paraId="503B1370" w14:textId="77777777" w:rsidR="00C7465F" w:rsidRDefault="00C7465F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Mutual Energy</w:t>
            </w:r>
          </w:p>
        </w:tc>
      </w:tr>
      <w:tr w:rsidR="00C7465F" w:rsidRPr="00232395" w14:paraId="6D1C64CB" w14:textId="77777777" w:rsidTr="00C51491">
        <w:trPr>
          <w:trHeight w:val="482"/>
        </w:trPr>
        <w:tc>
          <w:tcPr>
            <w:tcW w:w="3534" w:type="dxa"/>
            <w:shd w:val="clear" w:color="auto" w:fill="auto"/>
            <w:vAlign w:val="center"/>
          </w:tcPr>
          <w:p w14:paraId="231A9490" w14:textId="77777777" w:rsidR="00C7465F" w:rsidRDefault="00C7465F" w:rsidP="002034B7">
            <w:r>
              <w:t>Ben Hanley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4DC21946" w14:textId="77777777" w:rsidR="00C7465F" w:rsidRDefault="00C7465F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BH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2A507EC7" w14:textId="77777777" w:rsidR="00C7465F" w:rsidRDefault="00C7465F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NGN</w:t>
            </w:r>
          </w:p>
        </w:tc>
      </w:tr>
      <w:tr w:rsidR="00C7465F" w:rsidRPr="00232395" w14:paraId="0FE64AA6" w14:textId="77777777" w:rsidTr="003D171C">
        <w:trPr>
          <w:trHeight w:val="482"/>
        </w:trPr>
        <w:tc>
          <w:tcPr>
            <w:tcW w:w="3534" w:type="dxa"/>
            <w:shd w:val="clear" w:color="auto" w:fill="E1F6FF"/>
            <w:vAlign w:val="center"/>
          </w:tcPr>
          <w:p w14:paraId="7553AB0A" w14:textId="77777777" w:rsidR="00C7465F" w:rsidRDefault="00C7465F" w:rsidP="002034B7">
            <w:r>
              <w:t>Emma Buckton</w:t>
            </w:r>
          </w:p>
        </w:tc>
        <w:tc>
          <w:tcPr>
            <w:tcW w:w="1516" w:type="dxa"/>
            <w:shd w:val="clear" w:color="auto" w:fill="E1F6FF"/>
            <w:vAlign w:val="center"/>
          </w:tcPr>
          <w:p w14:paraId="25D5A308" w14:textId="77777777" w:rsidR="00C7465F" w:rsidRDefault="00C7465F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EB</w:t>
            </w:r>
          </w:p>
        </w:tc>
        <w:tc>
          <w:tcPr>
            <w:tcW w:w="3597" w:type="dxa"/>
            <w:shd w:val="clear" w:color="auto" w:fill="E1F6FF"/>
            <w:vAlign w:val="center"/>
          </w:tcPr>
          <w:p w14:paraId="0FDC4240" w14:textId="77777777" w:rsidR="00C7465F" w:rsidRDefault="00C7465F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NGN</w:t>
            </w:r>
          </w:p>
        </w:tc>
      </w:tr>
      <w:tr w:rsidR="00C7465F" w:rsidRPr="00232395" w14:paraId="2DCC3794" w14:textId="77777777" w:rsidTr="00C51491">
        <w:trPr>
          <w:trHeight w:val="482"/>
        </w:trPr>
        <w:tc>
          <w:tcPr>
            <w:tcW w:w="3534" w:type="dxa"/>
            <w:shd w:val="clear" w:color="auto" w:fill="auto"/>
            <w:vAlign w:val="center"/>
          </w:tcPr>
          <w:p w14:paraId="77FCD2F5" w14:textId="77777777" w:rsidR="00C7465F" w:rsidRDefault="00C7465F" w:rsidP="002034B7">
            <w:r>
              <w:t>Paul Worthington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3935EA5B" w14:textId="77777777" w:rsidR="00C7465F" w:rsidRDefault="00C7465F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PW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646C6785" w14:textId="77777777" w:rsidR="00C7465F" w:rsidRDefault="00C7465F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Orbital</w:t>
            </w:r>
          </w:p>
        </w:tc>
      </w:tr>
      <w:tr w:rsidR="00C7465F" w:rsidRPr="00232395" w14:paraId="6CB0CD1F" w14:textId="77777777" w:rsidTr="00C51491">
        <w:trPr>
          <w:trHeight w:val="482"/>
        </w:trPr>
        <w:tc>
          <w:tcPr>
            <w:tcW w:w="3534" w:type="dxa"/>
            <w:shd w:val="clear" w:color="auto" w:fill="E1F6FF"/>
            <w:vAlign w:val="center"/>
          </w:tcPr>
          <w:p w14:paraId="0E7CEF94" w14:textId="77777777" w:rsidR="00C7465F" w:rsidRDefault="00C7465F" w:rsidP="002034B7">
            <w:r>
              <w:t>Andrew Brown</w:t>
            </w:r>
          </w:p>
        </w:tc>
        <w:tc>
          <w:tcPr>
            <w:tcW w:w="1516" w:type="dxa"/>
            <w:shd w:val="clear" w:color="auto" w:fill="E1F6FF"/>
            <w:vAlign w:val="center"/>
          </w:tcPr>
          <w:p w14:paraId="69FFA6D4" w14:textId="77777777" w:rsidR="00C7465F" w:rsidRDefault="00C7465F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AB</w:t>
            </w:r>
          </w:p>
        </w:tc>
        <w:tc>
          <w:tcPr>
            <w:tcW w:w="3597" w:type="dxa"/>
            <w:shd w:val="clear" w:color="auto" w:fill="E1F6FF"/>
            <w:vAlign w:val="center"/>
          </w:tcPr>
          <w:p w14:paraId="0FAFF759" w14:textId="77777777" w:rsidR="00C7465F" w:rsidRDefault="00C7465F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SGN</w:t>
            </w:r>
          </w:p>
        </w:tc>
      </w:tr>
      <w:tr w:rsidR="00C7465F" w:rsidRPr="00232395" w14:paraId="3338108B" w14:textId="77777777" w:rsidTr="00C51491">
        <w:trPr>
          <w:trHeight w:val="482"/>
        </w:trPr>
        <w:tc>
          <w:tcPr>
            <w:tcW w:w="3534" w:type="dxa"/>
            <w:shd w:val="clear" w:color="auto" w:fill="auto"/>
            <w:vAlign w:val="center"/>
          </w:tcPr>
          <w:p w14:paraId="55BA1C84" w14:textId="77777777" w:rsidR="00C7465F" w:rsidRDefault="00C7465F" w:rsidP="002034B7">
            <w:r>
              <w:t>Elysia Roy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5FE4D057" w14:textId="77777777" w:rsidR="00C7465F" w:rsidRDefault="00C7465F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ER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68197205" w14:textId="77777777" w:rsidR="00C7465F" w:rsidRDefault="00C7465F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SGN</w:t>
            </w:r>
          </w:p>
        </w:tc>
      </w:tr>
      <w:tr w:rsidR="00C7465F" w:rsidRPr="00232395" w14:paraId="77989652" w14:textId="77777777" w:rsidTr="003D171C">
        <w:trPr>
          <w:trHeight w:val="482"/>
        </w:trPr>
        <w:tc>
          <w:tcPr>
            <w:tcW w:w="3534" w:type="dxa"/>
            <w:shd w:val="clear" w:color="auto" w:fill="E1F6FF"/>
            <w:vAlign w:val="center"/>
          </w:tcPr>
          <w:p w14:paraId="08DF7F76" w14:textId="4861750D" w:rsidR="00C7465F" w:rsidRDefault="00C7465F" w:rsidP="002034B7">
            <w:r>
              <w:t>Joel Martin (Chair)</w:t>
            </w:r>
          </w:p>
        </w:tc>
        <w:tc>
          <w:tcPr>
            <w:tcW w:w="1516" w:type="dxa"/>
            <w:shd w:val="clear" w:color="auto" w:fill="E1F6FF"/>
            <w:vAlign w:val="center"/>
          </w:tcPr>
          <w:p w14:paraId="012998FA" w14:textId="77777777" w:rsidR="00C7465F" w:rsidRDefault="00C7465F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JM</w:t>
            </w:r>
          </w:p>
        </w:tc>
        <w:tc>
          <w:tcPr>
            <w:tcW w:w="3597" w:type="dxa"/>
            <w:shd w:val="clear" w:color="auto" w:fill="E1F6FF"/>
            <w:vAlign w:val="center"/>
          </w:tcPr>
          <w:p w14:paraId="33DE70C2" w14:textId="77777777" w:rsidR="00C7465F" w:rsidRDefault="00C7465F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SGN</w:t>
            </w:r>
          </w:p>
        </w:tc>
      </w:tr>
      <w:tr w:rsidR="00C7465F" w:rsidRPr="00232395" w14:paraId="54928260" w14:textId="77777777" w:rsidTr="00C51491">
        <w:trPr>
          <w:trHeight w:val="482"/>
        </w:trPr>
        <w:tc>
          <w:tcPr>
            <w:tcW w:w="3534" w:type="dxa"/>
            <w:shd w:val="clear" w:color="auto" w:fill="auto"/>
            <w:vAlign w:val="center"/>
          </w:tcPr>
          <w:p w14:paraId="33CBB6F2" w14:textId="77777777" w:rsidR="00C7465F" w:rsidRDefault="00C7465F" w:rsidP="002034B7">
            <w:r>
              <w:lastRenderedPageBreak/>
              <w:t>Russell Brown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29363A68" w14:textId="77777777" w:rsidR="00C7465F" w:rsidRDefault="00C7465F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RB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206B6F1E" w14:textId="77777777" w:rsidR="00C7465F" w:rsidRDefault="00C7465F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Thyson</w:t>
            </w:r>
          </w:p>
        </w:tc>
      </w:tr>
      <w:tr w:rsidR="00C7465F" w:rsidRPr="00232395" w14:paraId="727B2B4F" w14:textId="77777777" w:rsidTr="00C51491">
        <w:trPr>
          <w:trHeight w:val="482"/>
        </w:trPr>
        <w:tc>
          <w:tcPr>
            <w:tcW w:w="3534" w:type="dxa"/>
            <w:shd w:val="clear" w:color="auto" w:fill="E1F6FF"/>
            <w:vAlign w:val="center"/>
          </w:tcPr>
          <w:p w14:paraId="13A08AB9" w14:textId="77777777" w:rsidR="00C7465F" w:rsidRDefault="00C7465F" w:rsidP="002034B7">
            <w:r>
              <w:t>Catherine Litster</w:t>
            </w:r>
          </w:p>
        </w:tc>
        <w:tc>
          <w:tcPr>
            <w:tcW w:w="1516" w:type="dxa"/>
            <w:shd w:val="clear" w:color="auto" w:fill="E1F6FF"/>
            <w:vAlign w:val="center"/>
          </w:tcPr>
          <w:p w14:paraId="10F699A0" w14:textId="77777777" w:rsidR="00C7465F" w:rsidRDefault="00C7465F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CL</w:t>
            </w:r>
          </w:p>
        </w:tc>
        <w:tc>
          <w:tcPr>
            <w:tcW w:w="3597" w:type="dxa"/>
            <w:shd w:val="clear" w:color="auto" w:fill="E1F6FF"/>
            <w:vAlign w:val="center"/>
          </w:tcPr>
          <w:p w14:paraId="5F704E5D" w14:textId="77777777" w:rsidR="00C7465F" w:rsidRDefault="00C7465F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WWU</w:t>
            </w:r>
          </w:p>
        </w:tc>
      </w:tr>
      <w:tr w:rsidR="00C7465F" w:rsidRPr="00232395" w14:paraId="4B25718A" w14:textId="77777777" w:rsidTr="00C51491">
        <w:trPr>
          <w:trHeight w:val="482"/>
        </w:trPr>
        <w:tc>
          <w:tcPr>
            <w:tcW w:w="3534" w:type="dxa"/>
            <w:shd w:val="clear" w:color="auto" w:fill="auto"/>
            <w:vAlign w:val="center"/>
          </w:tcPr>
          <w:p w14:paraId="7A397A9E" w14:textId="77777777" w:rsidR="00C7465F" w:rsidRDefault="00C7465F" w:rsidP="002034B7">
            <w:r>
              <w:t>Helen Fitzgerald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0A220899" w14:textId="77777777" w:rsidR="00C7465F" w:rsidRDefault="00C7465F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HF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56B0792C" w14:textId="77777777" w:rsidR="00C7465F" w:rsidRDefault="00C7465F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WWU</w:t>
            </w:r>
          </w:p>
        </w:tc>
      </w:tr>
    </w:tbl>
    <w:p w14:paraId="2DB52751" w14:textId="0A9D2F5B" w:rsidR="00547294" w:rsidRPr="003D171C" w:rsidRDefault="003A5BE1" w:rsidP="00EA117A">
      <w:pPr>
        <w:pStyle w:val="SUBHEADING"/>
      </w:pPr>
      <w:r>
        <w:fldChar w:fldCharType="begin"/>
      </w:r>
      <w:r>
        <w:instrText xml:space="preserve"> REF TitleOfCommittee </w:instrText>
      </w:r>
      <w:r w:rsidR="00EA117A">
        <w:instrText xml:space="preserve"> \* MERGEFORMAT </w:instrText>
      </w:r>
      <w:r w:rsidR="00000000">
        <w:fldChar w:fldCharType="separate"/>
      </w:r>
      <w:r>
        <w:fldChar w:fldCharType="end"/>
      </w:r>
      <w:r w:rsidR="00F4406B">
        <w:t>MEETING NOTES AND ACTIONS</w:t>
      </w:r>
    </w:p>
    <w:tbl>
      <w:tblPr>
        <w:tblW w:w="9778" w:type="dxa"/>
        <w:tblBorders>
          <w:top w:val="single" w:sz="2" w:space="0" w:color="A6ACA9" w:themeColor="background2"/>
          <w:left w:val="single" w:sz="2" w:space="0" w:color="A6ACA9" w:themeColor="background2"/>
          <w:bottom w:val="single" w:sz="2" w:space="0" w:color="A6ACA9" w:themeColor="background2"/>
          <w:right w:val="single" w:sz="2" w:space="0" w:color="A6ACA9" w:themeColor="background2"/>
          <w:insideH w:val="single" w:sz="2" w:space="0" w:color="A6ACA9" w:themeColor="background2"/>
          <w:insideV w:val="single" w:sz="2" w:space="0" w:color="A6ACA9" w:themeColor="background2"/>
        </w:tblBorders>
        <w:tblLook w:val="0420" w:firstRow="1" w:lastRow="0" w:firstColumn="0" w:lastColumn="0" w:noHBand="0" w:noVBand="1"/>
      </w:tblPr>
      <w:tblGrid>
        <w:gridCol w:w="8077"/>
        <w:gridCol w:w="1701"/>
      </w:tblGrid>
      <w:tr w:rsidR="0027620B" w:rsidRPr="00232395" w14:paraId="4945C3AD" w14:textId="77777777" w:rsidTr="00D34903">
        <w:trPr>
          <w:trHeight w:val="482"/>
        </w:trPr>
        <w:tc>
          <w:tcPr>
            <w:tcW w:w="8077" w:type="dxa"/>
            <w:shd w:val="clear" w:color="auto" w:fill="009FE3" w:themeFill="accent4"/>
            <w:vAlign w:val="center"/>
          </w:tcPr>
          <w:p w14:paraId="60E81F95" w14:textId="49CEA462" w:rsidR="0027620B" w:rsidRPr="003A5D0D" w:rsidRDefault="003A5D0D" w:rsidP="003A5D0D">
            <w:pP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 xml:space="preserve">1. </w:t>
            </w:r>
            <w:r w:rsidR="000050A1"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Welcome / Introductions</w:t>
            </w:r>
          </w:p>
        </w:tc>
        <w:tc>
          <w:tcPr>
            <w:tcW w:w="1701" w:type="dxa"/>
            <w:shd w:val="clear" w:color="auto" w:fill="009FE3" w:themeFill="accent4"/>
            <w:vAlign w:val="center"/>
          </w:tcPr>
          <w:p w14:paraId="3FCC4F05" w14:textId="67D5D495" w:rsidR="0027620B" w:rsidRPr="00232395" w:rsidRDefault="000050A1" w:rsidP="00F4406B">
            <w:pPr>
              <w:jc w:val="center"/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JM</w:t>
            </w:r>
          </w:p>
        </w:tc>
      </w:tr>
      <w:tr w:rsidR="002034B7" w:rsidRPr="00232395" w14:paraId="5FEFAF98" w14:textId="77777777" w:rsidTr="00D34903">
        <w:trPr>
          <w:trHeight w:val="482"/>
        </w:trPr>
        <w:tc>
          <w:tcPr>
            <w:tcW w:w="9778" w:type="dxa"/>
            <w:gridSpan w:val="2"/>
            <w:shd w:val="clear" w:color="auto" w:fill="E1F6FF"/>
            <w:vAlign w:val="center"/>
          </w:tcPr>
          <w:p w14:paraId="4FA6DBF0" w14:textId="6D661865" w:rsidR="00EA117A" w:rsidRDefault="000011B2" w:rsidP="00EC7D19">
            <w:pPr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JM</w:t>
            </w:r>
            <w:r w:rsidR="009A49C7">
              <w:rPr>
                <w:bCs/>
                <w:szCs w:val="20"/>
                <w:lang w:eastAsia="en-US"/>
              </w:rPr>
              <w:t xml:space="preserve"> introduced himself as the new chair of the </w:t>
            </w:r>
            <w:r w:rsidR="00EC7D19">
              <w:rPr>
                <w:bCs/>
                <w:szCs w:val="20"/>
                <w:lang w:eastAsia="en-US"/>
              </w:rPr>
              <w:t>E</w:t>
            </w:r>
            <w:r w:rsidR="009A49C7">
              <w:rPr>
                <w:bCs/>
                <w:szCs w:val="20"/>
                <w:lang w:eastAsia="en-US"/>
              </w:rPr>
              <w:t xml:space="preserve">ntry </w:t>
            </w:r>
            <w:r w:rsidR="00EC7D19">
              <w:rPr>
                <w:bCs/>
                <w:szCs w:val="20"/>
                <w:lang w:eastAsia="en-US"/>
              </w:rPr>
              <w:t>C</w:t>
            </w:r>
            <w:r w:rsidR="009A49C7">
              <w:rPr>
                <w:bCs/>
                <w:szCs w:val="20"/>
                <w:lang w:eastAsia="en-US"/>
              </w:rPr>
              <w:t xml:space="preserve">ustomer </w:t>
            </w:r>
            <w:r w:rsidR="00EC7D19">
              <w:rPr>
                <w:bCs/>
                <w:szCs w:val="20"/>
                <w:lang w:eastAsia="en-US"/>
              </w:rPr>
              <w:t>F</w:t>
            </w:r>
            <w:r w:rsidR="009A49C7">
              <w:rPr>
                <w:bCs/>
                <w:szCs w:val="20"/>
                <w:lang w:eastAsia="en-US"/>
              </w:rPr>
              <w:t>orum</w:t>
            </w:r>
            <w:r w:rsidR="00EA117A">
              <w:rPr>
                <w:bCs/>
                <w:szCs w:val="20"/>
                <w:lang w:eastAsia="en-US"/>
              </w:rPr>
              <w:t>. JM relayed apologies from SE.</w:t>
            </w:r>
          </w:p>
        </w:tc>
      </w:tr>
    </w:tbl>
    <w:p w14:paraId="67712DC5" w14:textId="057C8B63" w:rsidR="003D171C" w:rsidRDefault="003D171C" w:rsidP="002034B7"/>
    <w:tbl>
      <w:tblPr>
        <w:tblW w:w="9778" w:type="dxa"/>
        <w:tblBorders>
          <w:top w:val="single" w:sz="2" w:space="0" w:color="A6ACA9" w:themeColor="background2"/>
          <w:left w:val="single" w:sz="2" w:space="0" w:color="A6ACA9" w:themeColor="background2"/>
          <w:bottom w:val="single" w:sz="2" w:space="0" w:color="A6ACA9" w:themeColor="background2"/>
          <w:right w:val="single" w:sz="2" w:space="0" w:color="A6ACA9" w:themeColor="background2"/>
          <w:insideH w:val="single" w:sz="2" w:space="0" w:color="A6ACA9" w:themeColor="background2"/>
          <w:insideV w:val="single" w:sz="2" w:space="0" w:color="A6ACA9" w:themeColor="background2"/>
        </w:tblBorders>
        <w:tblLook w:val="0420" w:firstRow="1" w:lastRow="0" w:firstColumn="0" w:lastColumn="0" w:noHBand="0" w:noVBand="1"/>
      </w:tblPr>
      <w:tblGrid>
        <w:gridCol w:w="8077"/>
        <w:gridCol w:w="1701"/>
      </w:tblGrid>
      <w:tr w:rsidR="00502301" w:rsidRPr="00232395" w14:paraId="50D1F447" w14:textId="77777777" w:rsidTr="00D34903">
        <w:trPr>
          <w:trHeight w:val="482"/>
        </w:trPr>
        <w:tc>
          <w:tcPr>
            <w:tcW w:w="8077" w:type="dxa"/>
            <w:shd w:val="clear" w:color="auto" w:fill="009FE3" w:themeFill="accent4"/>
            <w:vAlign w:val="center"/>
          </w:tcPr>
          <w:p w14:paraId="00558ECE" w14:textId="449FF1B9" w:rsidR="002034B7" w:rsidRPr="003A5D0D" w:rsidRDefault="003A5D0D" w:rsidP="003A5D0D">
            <w:pP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 w:rsidRPr="003A5D0D"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2.</w:t>
            </w: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 xml:space="preserve"> </w:t>
            </w:r>
            <w:r w:rsidR="000050A1"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Action Log Update</w:t>
            </w:r>
          </w:p>
        </w:tc>
        <w:tc>
          <w:tcPr>
            <w:tcW w:w="1701" w:type="dxa"/>
            <w:shd w:val="clear" w:color="auto" w:fill="009FE3" w:themeFill="accent4"/>
            <w:vAlign w:val="center"/>
          </w:tcPr>
          <w:p w14:paraId="6D5429BC" w14:textId="45E84978" w:rsidR="002034B7" w:rsidRPr="00232395" w:rsidRDefault="000050A1" w:rsidP="0035282C">
            <w:pPr>
              <w:jc w:val="center"/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MR</w:t>
            </w:r>
          </w:p>
        </w:tc>
      </w:tr>
      <w:tr w:rsidR="00502301" w:rsidRPr="00232395" w14:paraId="745F757F" w14:textId="77777777" w:rsidTr="00D34903">
        <w:trPr>
          <w:trHeight w:val="482"/>
        </w:trPr>
        <w:tc>
          <w:tcPr>
            <w:tcW w:w="9778" w:type="dxa"/>
            <w:gridSpan w:val="2"/>
            <w:shd w:val="clear" w:color="auto" w:fill="E1F6FF"/>
            <w:vAlign w:val="center"/>
          </w:tcPr>
          <w:p w14:paraId="0EE43BA9" w14:textId="3ABD52F2" w:rsidR="002034B7" w:rsidRDefault="003D47A2" w:rsidP="0035282C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The group’s open actions were reviewed</w:t>
            </w:r>
            <w:r w:rsidR="00EA117A">
              <w:rPr>
                <w:rFonts w:cs="Tahoma"/>
                <w:bCs/>
                <w:szCs w:val="20"/>
                <w:lang w:eastAsia="en-US"/>
              </w:rPr>
              <w:t>:</w:t>
            </w:r>
          </w:p>
          <w:tbl>
            <w:tblPr>
              <w:tblW w:w="9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60"/>
              <w:gridCol w:w="1191"/>
              <w:gridCol w:w="5613"/>
              <w:gridCol w:w="680"/>
              <w:gridCol w:w="1134"/>
            </w:tblGrid>
            <w:tr w:rsidR="00576725" w:rsidRPr="00502301" w14:paraId="34B4F063" w14:textId="77777777" w:rsidTr="007538F8">
              <w:trPr>
                <w:trHeight w:val="397"/>
              </w:trPr>
              <w:tc>
                <w:tcPr>
                  <w:tcW w:w="560" w:type="dxa"/>
                  <w:shd w:val="clear" w:color="auto" w:fill="D9D9D9"/>
                  <w:tcMar>
                    <w:top w:w="12" w:type="dxa"/>
                    <w:left w:w="12" w:type="dxa"/>
                    <w:bottom w:w="72" w:type="dxa"/>
                    <w:right w:w="12" w:type="dxa"/>
                  </w:tcMar>
                  <w:vAlign w:val="center"/>
                  <w:hideMark/>
                </w:tcPr>
                <w:p w14:paraId="7BF2502F" w14:textId="77777777" w:rsidR="00502301" w:rsidRPr="00502301" w:rsidRDefault="00502301" w:rsidP="00502301">
                  <w:pPr>
                    <w:jc w:val="center"/>
                    <w:rPr>
                      <w:rFonts w:cs="Tahoma"/>
                      <w:bCs/>
                      <w:szCs w:val="20"/>
                      <w:lang w:eastAsia="en-US"/>
                    </w:rPr>
                  </w:pPr>
                  <w:r w:rsidRPr="00502301">
                    <w:rPr>
                      <w:rFonts w:cs="Tahoma"/>
                      <w:b/>
                      <w:bCs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191" w:type="dxa"/>
                  <w:shd w:val="clear" w:color="auto" w:fill="auto"/>
                  <w:tcMar>
                    <w:top w:w="12" w:type="dxa"/>
                    <w:left w:w="12" w:type="dxa"/>
                    <w:bottom w:w="72" w:type="dxa"/>
                    <w:right w:w="12" w:type="dxa"/>
                  </w:tcMar>
                  <w:vAlign w:val="center"/>
                  <w:hideMark/>
                </w:tcPr>
                <w:p w14:paraId="19FB2458" w14:textId="77777777" w:rsidR="00502301" w:rsidRPr="00502301" w:rsidRDefault="00502301" w:rsidP="00502301">
                  <w:pPr>
                    <w:jc w:val="center"/>
                    <w:rPr>
                      <w:rFonts w:cs="Tahoma"/>
                      <w:bCs/>
                      <w:szCs w:val="20"/>
                      <w:lang w:eastAsia="en-US"/>
                    </w:rPr>
                  </w:pPr>
                  <w:r w:rsidRPr="00502301">
                    <w:rPr>
                      <w:rFonts w:cs="Tahoma"/>
                      <w:bCs/>
                      <w:szCs w:val="20"/>
                      <w:lang w:eastAsia="en-US"/>
                    </w:rPr>
                    <w:t>31-May-22</w:t>
                  </w:r>
                </w:p>
              </w:tc>
              <w:tc>
                <w:tcPr>
                  <w:tcW w:w="5613" w:type="dxa"/>
                  <w:shd w:val="clear" w:color="auto" w:fill="auto"/>
                  <w:tcMar>
                    <w:top w:w="12" w:type="dxa"/>
                    <w:left w:w="12" w:type="dxa"/>
                    <w:bottom w:w="72" w:type="dxa"/>
                    <w:right w:w="12" w:type="dxa"/>
                  </w:tcMar>
                  <w:vAlign w:val="center"/>
                  <w:hideMark/>
                </w:tcPr>
                <w:p w14:paraId="52AE14D1" w14:textId="77777777" w:rsidR="00502301" w:rsidRPr="00502301" w:rsidRDefault="00502301" w:rsidP="00502301">
                  <w:pPr>
                    <w:rPr>
                      <w:rFonts w:cs="Tahoma"/>
                      <w:bCs/>
                      <w:szCs w:val="20"/>
                      <w:lang w:eastAsia="en-US"/>
                    </w:rPr>
                  </w:pPr>
                  <w:r w:rsidRPr="00502301">
                    <w:rPr>
                      <w:rFonts w:cs="Tahoma"/>
                      <w:bCs/>
                      <w:szCs w:val="20"/>
                      <w:lang w:val="en-US" w:eastAsia="en-US"/>
                    </w:rPr>
                    <w:t>DN to develop a generic capacity study for all gas networks to follow</w:t>
                  </w:r>
                </w:p>
              </w:tc>
              <w:tc>
                <w:tcPr>
                  <w:tcW w:w="680" w:type="dxa"/>
                  <w:shd w:val="clear" w:color="auto" w:fill="auto"/>
                  <w:tcMar>
                    <w:top w:w="12" w:type="dxa"/>
                    <w:left w:w="12" w:type="dxa"/>
                    <w:bottom w:w="72" w:type="dxa"/>
                    <w:right w:w="12" w:type="dxa"/>
                  </w:tcMar>
                  <w:vAlign w:val="center"/>
                  <w:hideMark/>
                </w:tcPr>
                <w:p w14:paraId="7B616F63" w14:textId="77777777" w:rsidR="00502301" w:rsidRPr="00502301" w:rsidRDefault="00502301" w:rsidP="00502301">
                  <w:pPr>
                    <w:jc w:val="center"/>
                    <w:rPr>
                      <w:rFonts w:cs="Tahoma"/>
                      <w:bCs/>
                      <w:szCs w:val="20"/>
                      <w:lang w:eastAsia="en-US"/>
                    </w:rPr>
                  </w:pPr>
                  <w:r w:rsidRPr="00502301">
                    <w:rPr>
                      <w:rFonts w:cs="Tahoma"/>
                      <w:bCs/>
                      <w:szCs w:val="20"/>
                      <w:lang w:eastAsia="en-US"/>
                    </w:rPr>
                    <w:t>DN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2" w:type="dxa"/>
                    <w:left w:w="12" w:type="dxa"/>
                    <w:bottom w:w="72" w:type="dxa"/>
                    <w:right w:w="12" w:type="dxa"/>
                  </w:tcMar>
                  <w:vAlign w:val="center"/>
                  <w:hideMark/>
                </w:tcPr>
                <w:p w14:paraId="63FB2485" w14:textId="77777777" w:rsidR="00502301" w:rsidRPr="00502301" w:rsidRDefault="00502301" w:rsidP="00502301">
                  <w:pPr>
                    <w:jc w:val="center"/>
                    <w:rPr>
                      <w:rFonts w:cs="Tahoma"/>
                      <w:szCs w:val="20"/>
                      <w:lang w:eastAsia="en-US"/>
                    </w:rPr>
                  </w:pPr>
                  <w:r w:rsidRPr="00502301">
                    <w:rPr>
                      <w:rFonts w:cs="Tahoma"/>
                      <w:szCs w:val="20"/>
                      <w:lang w:eastAsia="en-US"/>
                    </w:rPr>
                    <w:t>Ongoing</w:t>
                  </w:r>
                </w:p>
              </w:tc>
            </w:tr>
          </w:tbl>
          <w:p w14:paraId="4296D4E9" w14:textId="40F298BF" w:rsidR="00714504" w:rsidRDefault="00687053" w:rsidP="00576725">
            <w:pPr>
              <w:rPr>
                <w:rFonts w:cs="Tahoma"/>
                <w:bCs/>
                <w:szCs w:val="20"/>
                <w:lang w:eastAsia="en-US"/>
              </w:rPr>
            </w:pPr>
            <w:r w:rsidRPr="00E05966">
              <w:rPr>
                <w:rFonts w:cs="Tahoma"/>
                <w:bCs/>
                <w:szCs w:val="20"/>
                <w:lang w:eastAsia="en-US"/>
              </w:rPr>
              <w:t>JM updated</w:t>
            </w:r>
            <w:r w:rsidR="00E05966">
              <w:rPr>
                <w:rFonts w:cs="Tahoma"/>
                <w:bCs/>
                <w:szCs w:val="20"/>
                <w:lang w:eastAsia="en-US"/>
              </w:rPr>
              <w:t xml:space="preserve"> that </w:t>
            </w:r>
            <w:r w:rsidR="004C3800">
              <w:rPr>
                <w:rFonts w:cs="Tahoma"/>
                <w:bCs/>
                <w:szCs w:val="20"/>
                <w:lang w:eastAsia="en-US"/>
              </w:rPr>
              <w:t xml:space="preserve">DN had </w:t>
            </w:r>
            <w:r w:rsidR="00C67832">
              <w:rPr>
                <w:rFonts w:cs="Tahoma"/>
                <w:bCs/>
                <w:szCs w:val="20"/>
                <w:lang w:eastAsia="en-US"/>
              </w:rPr>
              <w:t xml:space="preserve">consolidated the GDN’s individual (similar) methodologies into a </w:t>
            </w:r>
            <w:r w:rsidR="00DC50CD">
              <w:rPr>
                <w:rFonts w:cs="Tahoma"/>
                <w:bCs/>
                <w:szCs w:val="20"/>
                <w:lang w:eastAsia="en-US"/>
              </w:rPr>
              <w:t>standard template</w:t>
            </w:r>
            <w:r w:rsidR="00714504">
              <w:rPr>
                <w:rFonts w:cs="Tahoma"/>
                <w:bCs/>
                <w:szCs w:val="20"/>
                <w:lang w:eastAsia="en-US"/>
              </w:rPr>
              <w:t xml:space="preserve">. </w:t>
            </w:r>
            <w:r w:rsidR="002E4EBC">
              <w:rPr>
                <w:rFonts w:cs="Tahoma"/>
                <w:bCs/>
                <w:szCs w:val="20"/>
                <w:lang w:eastAsia="en-US"/>
              </w:rPr>
              <w:t>AC added that with all the possible options (e.g., including reverse compression) it would be preferable to get this consistent</w:t>
            </w:r>
            <w:r w:rsidR="00027DC4">
              <w:rPr>
                <w:rFonts w:cs="Tahoma"/>
                <w:bCs/>
                <w:szCs w:val="20"/>
                <w:lang w:eastAsia="en-US"/>
              </w:rPr>
              <w:t>, however concerns were raised that a greater commercial understanding of e.g., reverse compression</w:t>
            </w:r>
            <w:r w:rsidR="0026201E">
              <w:rPr>
                <w:rFonts w:cs="Tahoma"/>
                <w:bCs/>
                <w:szCs w:val="20"/>
                <w:lang w:eastAsia="en-US"/>
              </w:rPr>
              <w:t>, was necessary before they could be recommended in such a study.</w:t>
            </w:r>
          </w:p>
          <w:p w14:paraId="54E31CC2" w14:textId="10FF4322" w:rsidR="00576725" w:rsidRDefault="00714504" w:rsidP="00576725">
            <w:pPr>
              <w:rPr>
                <w:rFonts w:cs="Tahoma"/>
                <w:b/>
                <w:szCs w:val="20"/>
                <w:lang w:eastAsia="en-US"/>
              </w:rPr>
            </w:pPr>
            <w:r w:rsidRPr="002E4EBC">
              <w:rPr>
                <w:rFonts w:cs="Tahoma"/>
                <w:b/>
                <w:szCs w:val="20"/>
                <w:lang w:eastAsia="en-US"/>
              </w:rPr>
              <w:t xml:space="preserve">Action: MR to </w:t>
            </w:r>
            <w:r w:rsidR="004C3800" w:rsidRPr="002E4EBC">
              <w:rPr>
                <w:rFonts w:cs="Tahoma"/>
                <w:b/>
                <w:szCs w:val="20"/>
                <w:lang w:eastAsia="en-US"/>
              </w:rPr>
              <w:t>tabl</w:t>
            </w:r>
            <w:r w:rsidRPr="002E4EBC">
              <w:rPr>
                <w:rFonts w:cs="Tahoma"/>
                <w:b/>
                <w:szCs w:val="20"/>
                <w:lang w:eastAsia="en-US"/>
              </w:rPr>
              <w:t>e a session for the GDNs</w:t>
            </w:r>
            <w:r w:rsidR="004C3800" w:rsidRPr="002E4EBC">
              <w:rPr>
                <w:rFonts w:cs="Tahoma"/>
                <w:b/>
                <w:szCs w:val="20"/>
                <w:lang w:eastAsia="en-US"/>
              </w:rPr>
              <w:t xml:space="preserve"> to look </w:t>
            </w:r>
            <w:r w:rsidR="00DC50CD" w:rsidRPr="002E4EBC">
              <w:rPr>
                <w:rFonts w:cs="Tahoma"/>
                <w:b/>
                <w:szCs w:val="20"/>
                <w:lang w:eastAsia="en-US"/>
              </w:rPr>
              <w:t xml:space="preserve">at </w:t>
            </w:r>
            <w:r w:rsidR="008D72DC">
              <w:rPr>
                <w:rFonts w:cs="Tahoma"/>
                <w:b/>
                <w:szCs w:val="20"/>
                <w:lang w:eastAsia="en-US"/>
              </w:rPr>
              <w:t>DN’s capacity study</w:t>
            </w:r>
            <w:r w:rsidR="00DC50CD" w:rsidRPr="002E4EBC">
              <w:rPr>
                <w:rFonts w:cs="Tahoma"/>
                <w:b/>
                <w:szCs w:val="20"/>
                <w:lang w:eastAsia="en-US"/>
              </w:rPr>
              <w:t xml:space="preserve"> template in more detail</w:t>
            </w:r>
            <w:r w:rsidR="00DA36DD">
              <w:rPr>
                <w:rFonts w:cs="Tahoma"/>
                <w:b/>
                <w:szCs w:val="20"/>
                <w:lang w:eastAsia="en-US"/>
              </w:rPr>
              <w:t>, assess what should be added/removed,</w:t>
            </w:r>
            <w:r w:rsidR="00DC50CD" w:rsidRPr="002E4EBC">
              <w:rPr>
                <w:rFonts w:cs="Tahoma"/>
                <w:b/>
                <w:szCs w:val="20"/>
                <w:lang w:eastAsia="en-US"/>
              </w:rPr>
              <w:t xml:space="preserve"> and whether to adopt </w:t>
            </w:r>
            <w:r w:rsidR="002E4EBC">
              <w:rPr>
                <w:rFonts w:cs="Tahoma"/>
                <w:b/>
                <w:szCs w:val="20"/>
                <w:lang w:eastAsia="en-US"/>
              </w:rPr>
              <w:t>this</w:t>
            </w:r>
            <w:r w:rsidR="00DC50CD" w:rsidRPr="002E4EBC">
              <w:rPr>
                <w:rFonts w:cs="Tahoma"/>
                <w:b/>
                <w:szCs w:val="20"/>
                <w:lang w:eastAsia="en-US"/>
              </w:rPr>
              <w:t xml:space="preserve"> consistent </w:t>
            </w:r>
            <w:r w:rsidR="002E4EBC">
              <w:rPr>
                <w:rFonts w:cs="Tahoma"/>
                <w:b/>
                <w:szCs w:val="20"/>
                <w:lang w:eastAsia="en-US"/>
              </w:rPr>
              <w:t>methodology.</w:t>
            </w:r>
          </w:p>
          <w:p w14:paraId="0599E504" w14:textId="77777777" w:rsidR="0026201E" w:rsidRPr="002E4EBC" w:rsidRDefault="0026201E" w:rsidP="00576725">
            <w:pPr>
              <w:rPr>
                <w:rFonts w:cs="Tahoma"/>
                <w:b/>
                <w:szCs w:val="20"/>
                <w:lang w:eastAsia="en-US"/>
              </w:rPr>
            </w:pPr>
          </w:p>
          <w:tbl>
            <w:tblPr>
              <w:tblW w:w="9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60"/>
              <w:gridCol w:w="1191"/>
              <w:gridCol w:w="5613"/>
              <w:gridCol w:w="680"/>
              <w:gridCol w:w="1134"/>
            </w:tblGrid>
            <w:tr w:rsidR="00576725" w:rsidRPr="00502301" w14:paraId="6E76E3EE" w14:textId="77777777" w:rsidTr="007538F8">
              <w:trPr>
                <w:trHeight w:val="397"/>
              </w:trPr>
              <w:tc>
                <w:tcPr>
                  <w:tcW w:w="560" w:type="dxa"/>
                  <w:shd w:val="clear" w:color="auto" w:fill="D9D9D9"/>
                  <w:tcMar>
                    <w:top w:w="12" w:type="dxa"/>
                    <w:left w:w="12" w:type="dxa"/>
                    <w:bottom w:w="72" w:type="dxa"/>
                    <w:right w:w="12" w:type="dxa"/>
                  </w:tcMar>
                  <w:vAlign w:val="center"/>
                  <w:hideMark/>
                </w:tcPr>
                <w:p w14:paraId="6E98DF5A" w14:textId="64337CF3" w:rsidR="00576725" w:rsidRPr="00502301" w:rsidRDefault="00576725" w:rsidP="00576725">
                  <w:pPr>
                    <w:jc w:val="center"/>
                    <w:rPr>
                      <w:rFonts w:cs="Tahoma"/>
                      <w:bCs/>
                      <w:szCs w:val="20"/>
                      <w:lang w:eastAsia="en-US"/>
                    </w:rPr>
                  </w:pPr>
                  <w:r>
                    <w:rPr>
                      <w:rFonts w:cs="Tahoma"/>
                      <w:bCs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191" w:type="dxa"/>
                  <w:shd w:val="clear" w:color="auto" w:fill="auto"/>
                  <w:tcMar>
                    <w:top w:w="12" w:type="dxa"/>
                    <w:left w:w="12" w:type="dxa"/>
                    <w:bottom w:w="72" w:type="dxa"/>
                    <w:right w:w="12" w:type="dxa"/>
                  </w:tcMar>
                  <w:vAlign w:val="center"/>
                  <w:hideMark/>
                </w:tcPr>
                <w:p w14:paraId="79BD60B9" w14:textId="6821EC1A" w:rsidR="00576725" w:rsidRPr="00502301" w:rsidRDefault="00576725" w:rsidP="00576725">
                  <w:pPr>
                    <w:jc w:val="center"/>
                    <w:rPr>
                      <w:rFonts w:cs="Tahoma"/>
                      <w:bCs/>
                      <w:szCs w:val="20"/>
                      <w:lang w:eastAsia="en-US"/>
                    </w:rPr>
                  </w:pPr>
                  <w:r>
                    <w:rPr>
                      <w:rFonts w:cs="Tahoma"/>
                      <w:bCs/>
                      <w:szCs w:val="20"/>
                      <w:lang w:eastAsia="en-US"/>
                    </w:rPr>
                    <w:t>29</w:t>
                  </w:r>
                  <w:r w:rsidRPr="00502301">
                    <w:rPr>
                      <w:rFonts w:cs="Tahoma"/>
                      <w:bCs/>
                      <w:szCs w:val="20"/>
                      <w:lang w:eastAsia="en-US"/>
                    </w:rPr>
                    <w:t>-</w:t>
                  </w:r>
                  <w:r>
                    <w:rPr>
                      <w:rFonts w:cs="Tahoma"/>
                      <w:bCs/>
                      <w:szCs w:val="20"/>
                      <w:lang w:eastAsia="en-US"/>
                    </w:rPr>
                    <w:t>Nov</w:t>
                  </w:r>
                  <w:r w:rsidRPr="00502301">
                    <w:rPr>
                      <w:rFonts w:cs="Tahoma"/>
                      <w:bCs/>
                      <w:szCs w:val="20"/>
                      <w:lang w:eastAsia="en-US"/>
                    </w:rPr>
                    <w:t>-22</w:t>
                  </w:r>
                </w:p>
              </w:tc>
              <w:tc>
                <w:tcPr>
                  <w:tcW w:w="5613" w:type="dxa"/>
                  <w:shd w:val="clear" w:color="auto" w:fill="auto"/>
                  <w:tcMar>
                    <w:top w:w="12" w:type="dxa"/>
                    <w:left w:w="12" w:type="dxa"/>
                    <w:bottom w:w="72" w:type="dxa"/>
                    <w:right w:w="12" w:type="dxa"/>
                  </w:tcMar>
                  <w:vAlign w:val="center"/>
                  <w:hideMark/>
                </w:tcPr>
                <w:p w14:paraId="7134A219" w14:textId="743B556F" w:rsidR="00576725" w:rsidRPr="00502301" w:rsidRDefault="00576725" w:rsidP="00576725">
                  <w:pPr>
                    <w:rPr>
                      <w:rFonts w:cs="Tahoma"/>
                      <w:bCs/>
                      <w:szCs w:val="20"/>
                      <w:lang w:eastAsia="en-US"/>
                    </w:rPr>
                  </w:pPr>
                  <w:r>
                    <w:rPr>
                      <w:rFonts w:cs="Tahoma"/>
                      <w:bCs/>
                      <w:szCs w:val="20"/>
                      <w:lang w:val="en-US" w:eastAsia="en-US"/>
                    </w:rPr>
                    <w:t>ALL to hold a review of meeting frequency in March 2023.</w:t>
                  </w:r>
                </w:p>
              </w:tc>
              <w:tc>
                <w:tcPr>
                  <w:tcW w:w="680" w:type="dxa"/>
                  <w:shd w:val="clear" w:color="auto" w:fill="auto"/>
                  <w:tcMar>
                    <w:top w:w="12" w:type="dxa"/>
                    <w:left w:w="12" w:type="dxa"/>
                    <w:bottom w:w="72" w:type="dxa"/>
                    <w:right w:w="12" w:type="dxa"/>
                  </w:tcMar>
                  <w:vAlign w:val="center"/>
                  <w:hideMark/>
                </w:tcPr>
                <w:p w14:paraId="0B3B93E5" w14:textId="3E8F2A30" w:rsidR="00576725" w:rsidRPr="00502301" w:rsidRDefault="00576725" w:rsidP="00576725">
                  <w:pPr>
                    <w:jc w:val="center"/>
                    <w:rPr>
                      <w:rFonts w:cs="Tahoma"/>
                      <w:bCs/>
                      <w:szCs w:val="20"/>
                      <w:lang w:eastAsia="en-US"/>
                    </w:rPr>
                  </w:pPr>
                  <w:r>
                    <w:rPr>
                      <w:rFonts w:cs="Tahoma"/>
                      <w:bCs/>
                      <w:szCs w:val="20"/>
                      <w:lang w:eastAsia="en-US"/>
                    </w:rPr>
                    <w:t>ALL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2" w:type="dxa"/>
                    <w:left w:w="12" w:type="dxa"/>
                    <w:bottom w:w="72" w:type="dxa"/>
                    <w:right w:w="12" w:type="dxa"/>
                  </w:tcMar>
                  <w:vAlign w:val="center"/>
                  <w:hideMark/>
                </w:tcPr>
                <w:p w14:paraId="07A56095" w14:textId="4BEAE143" w:rsidR="00576725" w:rsidRPr="00502301" w:rsidRDefault="00576725" w:rsidP="00576725">
                  <w:pPr>
                    <w:jc w:val="center"/>
                    <w:rPr>
                      <w:rFonts w:cs="Tahoma"/>
                      <w:bCs/>
                      <w:szCs w:val="20"/>
                      <w:lang w:eastAsia="en-US"/>
                    </w:rPr>
                  </w:pPr>
                  <w:r w:rsidRPr="009D0A91">
                    <w:rPr>
                      <w:rFonts w:cs="Tahoma"/>
                      <w:bCs/>
                      <w:szCs w:val="20"/>
                      <w:lang w:eastAsia="en-US"/>
                    </w:rPr>
                    <w:t>On agenda</w:t>
                  </w:r>
                </w:p>
              </w:tc>
            </w:tr>
          </w:tbl>
          <w:p w14:paraId="4C7696FB" w14:textId="20740D07" w:rsidR="009D0A91" w:rsidRDefault="00576725" w:rsidP="00576725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 xml:space="preserve">The group decided to </w:t>
            </w:r>
            <w:r w:rsidR="009D0A91">
              <w:rPr>
                <w:rFonts w:cs="Tahoma"/>
                <w:bCs/>
                <w:szCs w:val="20"/>
                <w:lang w:eastAsia="en-US"/>
              </w:rPr>
              <w:t>keep the current meeting frequency (bi-monthly).</w:t>
            </w:r>
          </w:p>
          <w:p w14:paraId="7F80F2EC" w14:textId="0AC74E7C" w:rsidR="00EA117A" w:rsidRDefault="009D0A91" w:rsidP="00576725">
            <w:pPr>
              <w:rPr>
                <w:rFonts w:cs="Tahoma"/>
                <w:b/>
                <w:szCs w:val="20"/>
                <w:lang w:eastAsia="en-US"/>
              </w:rPr>
            </w:pPr>
            <w:r w:rsidRPr="009D0A91">
              <w:rPr>
                <w:rFonts w:cs="Tahoma"/>
                <w:b/>
                <w:szCs w:val="20"/>
                <w:lang w:eastAsia="en-US"/>
              </w:rPr>
              <w:t>Action: MR to update the 2023 invitations accordingly.</w:t>
            </w:r>
          </w:p>
          <w:p w14:paraId="473B84BF" w14:textId="77777777" w:rsidR="0026201E" w:rsidRPr="009D0A91" w:rsidRDefault="0026201E" w:rsidP="00576725">
            <w:pPr>
              <w:rPr>
                <w:rFonts w:cs="Tahoma"/>
                <w:b/>
                <w:szCs w:val="20"/>
                <w:lang w:eastAsia="en-US"/>
              </w:rPr>
            </w:pPr>
          </w:p>
          <w:tbl>
            <w:tblPr>
              <w:tblW w:w="9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60"/>
              <w:gridCol w:w="1191"/>
              <w:gridCol w:w="5613"/>
              <w:gridCol w:w="680"/>
              <w:gridCol w:w="1134"/>
            </w:tblGrid>
            <w:tr w:rsidR="00480158" w:rsidRPr="00502301" w14:paraId="7C28DFD0" w14:textId="77777777" w:rsidTr="007538F8">
              <w:trPr>
                <w:trHeight w:val="397"/>
              </w:trPr>
              <w:tc>
                <w:tcPr>
                  <w:tcW w:w="560" w:type="dxa"/>
                  <w:shd w:val="clear" w:color="auto" w:fill="D9D9D9"/>
                  <w:tcMar>
                    <w:top w:w="12" w:type="dxa"/>
                    <w:left w:w="12" w:type="dxa"/>
                    <w:bottom w:w="72" w:type="dxa"/>
                    <w:right w:w="12" w:type="dxa"/>
                  </w:tcMar>
                  <w:vAlign w:val="center"/>
                  <w:hideMark/>
                </w:tcPr>
                <w:p w14:paraId="189374C1" w14:textId="0AC74E7C" w:rsidR="00480158" w:rsidRPr="00502301" w:rsidRDefault="00480158" w:rsidP="00480158">
                  <w:pPr>
                    <w:jc w:val="center"/>
                    <w:rPr>
                      <w:rFonts w:cs="Tahoma"/>
                      <w:bCs/>
                      <w:szCs w:val="20"/>
                      <w:lang w:eastAsia="en-US"/>
                    </w:rPr>
                  </w:pPr>
                  <w:r>
                    <w:rPr>
                      <w:rFonts w:cs="Tahoma"/>
                      <w:bCs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191" w:type="dxa"/>
                  <w:shd w:val="clear" w:color="auto" w:fill="auto"/>
                  <w:tcMar>
                    <w:top w:w="12" w:type="dxa"/>
                    <w:left w:w="12" w:type="dxa"/>
                    <w:bottom w:w="72" w:type="dxa"/>
                    <w:right w:w="12" w:type="dxa"/>
                  </w:tcMar>
                  <w:vAlign w:val="center"/>
                  <w:hideMark/>
                </w:tcPr>
                <w:p w14:paraId="6BF2D87E" w14:textId="36B7AE1D" w:rsidR="00480158" w:rsidRPr="00502301" w:rsidRDefault="00480158" w:rsidP="00480158">
                  <w:pPr>
                    <w:jc w:val="center"/>
                    <w:rPr>
                      <w:rFonts w:cs="Tahoma"/>
                      <w:bCs/>
                      <w:szCs w:val="20"/>
                      <w:lang w:eastAsia="en-US"/>
                    </w:rPr>
                  </w:pPr>
                  <w:r>
                    <w:rPr>
                      <w:rFonts w:cs="Tahoma"/>
                      <w:bCs/>
                      <w:szCs w:val="20"/>
                      <w:lang w:eastAsia="en-US"/>
                    </w:rPr>
                    <w:t>31</w:t>
                  </w:r>
                  <w:r w:rsidRPr="00502301">
                    <w:rPr>
                      <w:rFonts w:cs="Tahoma"/>
                      <w:bCs/>
                      <w:szCs w:val="20"/>
                      <w:lang w:eastAsia="en-US"/>
                    </w:rPr>
                    <w:t>-</w:t>
                  </w:r>
                  <w:r>
                    <w:rPr>
                      <w:rFonts w:cs="Tahoma"/>
                      <w:bCs/>
                      <w:szCs w:val="20"/>
                      <w:lang w:eastAsia="en-US"/>
                    </w:rPr>
                    <w:t>Jan</w:t>
                  </w:r>
                  <w:r w:rsidRPr="00502301">
                    <w:rPr>
                      <w:rFonts w:cs="Tahoma"/>
                      <w:bCs/>
                      <w:szCs w:val="20"/>
                      <w:lang w:eastAsia="en-US"/>
                    </w:rPr>
                    <w:t>-2</w:t>
                  </w:r>
                  <w:r>
                    <w:rPr>
                      <w:rFonts w:cs="Tahoma"/>
                      <w:bCs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5613" w:type="dxa"/>
                  <w:shd w:val="clear" w:color="auto" w:fill="auto"/>
                  <w:tcMar>
                    <w:top w:w="12" w:type="dxa"/>
                    <w:left w:w="12" w:type="dxa"/>
                    <w:bottom w:w="72" w:type="dxa"/>
                    <w:right w:w="12" w:type="dxa"/>
                  </w:tcMar>
                  <w:vAlign w:val="center"/>
                  <w:hideMark/>
                </w:tcPr>
                <w:p w14:paraId="5E684572" w14:textId="54361973" w:rsidR="00480158" w:rsidRPr="00502301" w:rsidRDefault="00480158" w:rsidP="00480158">
                  <w:pPr>
                    <w:rPr>
                      <w:rFonts w:cs="Tahoma"/>
                      <w:bCs/>
                      <w:szCs w:val="20"/>
                      <w:lang w:eastAsia="en-US"/>
                    </w:rPr>
                  </w:pPr>
                  <w:r>
                    <w:rPr>
                      <w:rFonts w:cs="Tahoma"/>
                      <w:bCs/>
                      <w:szCs w:val="20"/>
                      <w:lang w:val="en-US" w:eastAsia="en-US"/>
                    </w:rPr>
                    <w:t>Invite an IGEM representative to attend the EnCF.</w:t>
                  </w:r>
                </w:p>
              </w:tc>
              <w:tc>
                <w:tcPr>
                  <w:tcW w:w="680" w:type="dxa"/>
                  <w:shd w:val="clear" w:color="auto" w:fill="auto"/>
                  <w:tcMar>
                    <w:top w:w="12" w:type="dxa"/>
                    <w:left w:w="12" w:type="dxa"/>
                    <w:bottom w:w="72" w:type="dxa"/>
                    <w:right w:w="12" w:type="dxa"/>
                  </w:tcMar>
                  <w:vAlign w:val="center"/>
                  <w:hideMark/>
                </w:tcPr>
                <w:p w14:paraId="613D0100" w14:textId="2C7B0AAE" w:rsidR="00480158" w:rsidRPr="00502301" w:rsidRDefault="00480158" w:rsidP="00480158">
                  <w:pPr>
                    <w:jc w:val="center"/>
                    <w:rPr>
                      <w:rFonts w:cs="Tahoma"/>
                      <w:bCs/>
                      <w:szCs w:val="20"/>
                      <w:lang w:eastAsia="en-US"/>
                    </w:rPr>
                  </w:pPr>
                  <w:r>
                    <w:rPr>
                      <w:rFonts w:cs="Tahoma"/>
                      <w:bCs/>
                      <w:szCs w:val="20"/>
                      <w:lang w:eastAsia="en-US"/>
                    </w:rPr>
                    <w:t>EB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2" w:type="dxa"/>
                    <w:left w:w="12" w:type="dxa"/>
                    <w:bottom w:w="72" w:type="dxa"/>
                    <w:right w:w="12" w:type="dxa"/>
                  </w:tcMar>
                  <w:vAlign w:val="center"/>
                  <w:hideMark/>
                </w:tcPr>
                <w:p w14:paraId="7C5C4DFD" w14:textId="1C77DE49" w:rsidR="00480158" w:rsidRPr="00502301" w:rsidRDefault="00480158" w:rsidP="00480158">
                  <w:pPr>
                    <w:jc w:val="center"/>
                    <w:rPr>
                      <w:rFonts w:cs="Tahoma"/>
                      <w:bCs/>
                      <w:szCs w:val="20"/>
                      <w:lang w:eastAsia="en-US"/>
                    </w:rPr>
                  </w:pPr>
                  <w:r>
                    <w:rPr>
                      <w:rFonts w:cs="Tahoma"/>
                      <w:bCs/>
                      <w:szCs w:val="20"/>
                      <w:lang w:eastAsia="en-US"/>
                    </w:rPr>
                    <w:t>Created</w:t>
                  </w:r>
                </w:p>
              </w:tc>
            </w:tr>
          </w:tbl>
          <w:p w14:paraId="1152AC7C" w14:textId="2E45F0B4" w:rsidR="009D0A91" w:rsidRDefault="00C919D2" w:rsidP="00576725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MR had reached out to the generic IGEM technical inbox</w:t>
            </w:r>
            <w:r w:rsidR="00EA117A">
              <w:rPr>
                <w:rFonts w:cs="Tahoma"/>
                <w:bCs/>
                <w:szCs w:val="20"/>
                <w:lang w:eastAsia="en-US"/>
              </w:rPr>
              <w:t xml:space="preserve"> and was awaiting </w:t>
            </w:r>
            <w:r w:rsidR="00CC3A37">
              <w:rPr>
                <w:rFonts w:cs="Tahoma"/>
                <w:bCs/>
                <w:szCs w:val="20"/>
                <w:lang w:eastAsia="en-US"/>
              </w:rPr>
              <w:t>response</w:t>
            </w:r>
            <w:r>
              <w:rPr>
                <w:rFonts w:cs="Tahoma"/>
                <w:bCs/>
                <w:szCs w:val="20"/>
                <w:lang w:eastAsia="en-US"/>
              </w:rPr>
              <w:t xml:space="preserve">; EB had </w:t>
            </w:r>
            <w:r w:rsidR="00172B50">
              <w:rPr>
                <w:rFonts w:cs="Tahoma"/>
                <w:bCs/>
                <w:szCs w:val="20"/>
                <w:lang w:eastAsia="en-US"/>
              </w:rPr>
              <w:t xml:space="preserve">received </w:t>
            </w:r>
            <w:r w:rsidR="00EA117A">
              <w:rPr>
                <w:rFonts w:cs="Tahoma"/>
                <w:bCs/>
                <w:szCs w:val="20"/>
                <w:lang w:eastAsia="en-US"/>
              </w:rPr>
              <w:t xml:space="preserve">and reached out to </w:t>
            </w:r>
            <w:r w:rsidR="00172B50">
              <w:rPr>
                <w:rFonts w:cs="Tahoma"/>
                <w:bCs/>
                <w:szCs w:val="20"/>
                <w:lang w:eastAsia="en-US"/>
              </w:rPr>
              <w:t xml:space="preserve">an IGEM contact and was </w:t>
            </w:r>
            <w:r w:rsidR="00EA117A">
              <w:rPr>
                <w:rFonts w:cs="Tahoma"/>
                <w:bCs/>
                <w:szCs w:val="20"/>
                <w:lang w:eastAsia="en-US"/>
              </w:rPr>
              <w:t xml:space="preserve">likewise </w:t>
            </w:r>
            <w:r w:rsidR="00172B50">
              <w:rPr>
                <w:rFonts w:cs="Tahoma"/>
                <w:bCs/>
                <w:szCs w:val="20"/>
                <w:lang w:eastAsia="en-US"/>
              </w:rPr>
              <w:t>awaiting response.</w:t>
            </w:r>
          </w:p>
          <w:p w14:paraId="796271B9" w14:textId="77777777" w:rsidR="0026201E" w:rsidRDefault="0026201E" w:rsidP="00576725">
            <w:pPr>
              <w:rPr>
                <w:rFonts w:cs="Tahoma"/>
                <w:bCs/>
                <w:szCs w:val="20"/>
                <w:lang w:eastAsia="en-US"/>
              </w:rPr>
            </w:pPr>
          </w:p>
          <w:tbl>
            <w:tblPr>
              <w:tblW w:w="9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60"/>
              <w:gridCol w:w="1191"/>
              <w:gridCol w:w="5613"/>
              <w:gridCol w:w="680"/>
              <w:gridCol w:w="1134"/>
            </w:tblGrid>
            <w:tr w:rsidR="00172B50" w:rsidRPr="00502301" w14:paraId="39E4C051" w14:textId="77777777" w:rsidTr="007538F8">
              <w:trPr>
                <w:trHeight w:val="397"/>
              </w:trPr>
              <w:tc>
                <w:tcPr>
                  <w:tcW w:w="560" w:type="dxa"/>
                  <w:shd w:val="clear" w:color="auto" w:fill="D9D9D9"/>
                  <w:tcMar>
                    <w:top w:w="12" w:type="dxa"/>
                    <w:left w:w="12" w:type="dxa"/>
                    <w:bottom w:w="72" w:type="dxa"/>
                    <w:right w:w="12" w:type="dxa"/>
                  </w:tcMar>
                  <w:vAlign w:val="center"/>
                  <w:hideMark/>
                </w:tcPr>
                <w:p w14:paraId="0F32B903" w14:textId="2F447B13" w:rsidR="00172B50" w:rsidRPr="00502301" w:rsidRDefault="00172B50" w:rsidP="00172B50">
                  <w:pPr>
                    <w:jc w:val="center"/>
                    <w:rPr>
                      <w:rFonts w:cs="Tahoma"/>
                      <w:bCs/>
                      <w:szCs w:val="20"/>
                      <w:lang w:eastAsia="en-US"/>
                    </w:rPr>
                  </w:pPr>
                  <w:r>
                    <w:rPr>
                      <w:rFonts w:cs="Tahoma"/>
                      <w:bCs/>
                      <w:szCs w:val="20"/>
                      <w:lang w:eastAsia="en-US"/>
                    </w:rPr>
                    <w:lastRenderedPageBreak/>
                    <w:t>4</w:t>
                  </w:r>
                </w:p>
              </w:tc>
              <w:tc>
                <w:tcPr>
                  <w:tcW w:w="1191" w:type="dxa"/>
                  <w:shd w:val="clear" w:color="auto" w:fill="auto"/>
                  <w:tcMar>
                    <w:top w:w="12" w:type="dxa"/>
                    <w:left w:w="12" w:type="dxa"/>
                    <w:bottom w:w="72" w:type="dxa"/>
                    <w:right w:w="12" w:type="dxa"/>
                  </w:tcMar>
                  <w:vAlign w:val="center"/>
                  <w:hideMark/>
                </w:tcPr>
                <w:p w14:paraId="27F05892" w14:textId="77777777" w:rsidR="00172B50" w:rsidRPr="00502301" w:rsidRDefault="00172B50" w:rsidP="00172B50">
                  <w:pPr>
                    <w:jc w:val="center"/>
                    <w:rPr>
                      <w:rFonts w:cs="Tahoma"/>
                      <w:bCs/>
                      <w:szCs w:val="20"/>
                      <w:lang w:eastAsia="en-US"/>
                    </w:rPr>
                  </w:pPr>
                  <w:r>
                    <w:rPr>
                      <w:rFonts w:cs="Tahoma"/>
                      <w:bCs/>
                      <w:szCs w:val="20"/>
                      <w:lang w:eastAsia="en-US"/>
                    </w:rPr>
                    <w:t>31</w:t>
                  </w:r>
                  <w:r w:rsidRPr="00502301">
                    <w:rPr>
                      <w:rFonts w:cs="Tahoma"/>
                      <w:bCs/>
                      <w:szCs w:val="20"/>
                      <w:lang w:eastAsia="en-US"/>
                    </w:rPr>
                    <w:t>-</w:t>
                  </w:r>
                  <w:r>
                    <w:rPr>
                      <w:rFonts w:cs="Tahoma"/>
                      <w:bCs/>
                      <w:szCs w:val="20"/>
                      <w:lang w:eastAsia="en-US"/>
                    </w:rPr>
                    <w:t>Jan</w:t>
                  </w:r>
                  <w:r w:rsidRPr="00502301">
                    <w:rPr>
                      <w:rFonts w:cs="Tahoma"/>
                      <w:bCs/>
                      <w:szCs w:val="20"/>
                      <w:lang w:eastAsia="en-US"/>
                    </w:rPr>
                    <w:t>-2</w:t>
                  </w:r>
                  <w:r>
                    <w:rPr>
                      <w:rFonts w:cs="Tahoma"/>
                      <w:bCs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5613" w:type="dxa"/>
                  <w:shd w:val="clear" w:color="auto" w:fill="auto"/>
                  <w:tcMar>
                    <w:top w:w="12" w:type="dxa"/>
                    <w:left w:w="12" w:type="dxa"/>
                    <w:bottom w:w="72" w:type="dxa"/>
                    <w:right w:w="12" w:type="dxa"/>
                  </w:tcMar>
                  <w:vAlign w:val="center"/>
                  <w:hideMark/>
                </w:tcPr>
                <w:p w14:paraId="4A82A085" w14:textId="603E4A68" w:rsidR="00172B50" w:rsidRPr="00502301" w:rsidRDefault="00172B50" w:rsidP="00172B50">
                  <w:pPr>
                    <w:rPr>
                      <w:rFonts w:cs="Tahoma"/>
                      <w:bCs/>
                      <w:szCs w:val="20"/>
                      <w:lang w:eastAsia="en-US"/>
                    </w:rPr>
                  </w:pPr>
                  <w:r>
                    <w:rPr>
                      <w:rFonts w:cs="Tahoma"/>
                      <w:bCs/>
                      <w:szCs w:val="20"/>
                      <w:lang w:val="en-US" w:eastAsia="en-US"/>
                    </w:rPr>
                    <w:t>GDNs to review the outcomes of the Biomethane Investor Workshop and form an action plan.</w:t>
                  </w:r>
                </w:p>
              </w:tc>
              <w:tc>
                <w:tcPr>
                  <w:tcW w:w="680" w:type="dxa"/>
                  <w:shd w:val="clear" w:color="auto" w:fill="auto"/>
                  <w:tcMar>
                    <w:top w:w="12" w:type="dxa"/>
                    <w:left w:w="12" w:type="dxa"/>
                    <w:bottom w:w="72" w:type="dxa"/>
                    <w:right w:w="12" w:type="dxa"/>
                  </w:tcMar>
                  <w:vAlign w:val="center"/>
                  <w:hideMark/>
                </w:tcPr>
                <w:p w14:paraId="1054F319" w14:textId="503B58D6" w:rsidR="00172B50" w:rsidRPr="00502301" w:rsidRDefault="00172B50" w:rsidP="00172B50">
                  <w:pPr>
                    <w:jc w:val="center"/>
                    <w:rPr>
                      <w:rFonts w:cs="Tahoma"/>
                      <w:bCs/>
                      <w:szCs w:val="20"/>
                      <w:lang w:eastAsia="en-US"/>
                    </w:rPr>
                  </w:pPr>
                  <w:r>
                    <w:rPr>
                      <w:rFonts w:cs="Tahoma"/>
                      <w:bCs/>
                      <w:szCs w:val="20"/>
                      <w:lang w:eastAsia="en-US"/>
                    </w:rPr>
                    <w:t>GDNs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2" w:type="dxa"/>
                    <w:left w:w="12" w:type="dxa"/>
                    <w:bottom w:w="72" w:type="dxa"/>
                    <w:right w:w="12" w:type="dxa"/>
                  </w:tcMar>
                  <w:vAlign w:val="center"/>
                  <w:hideMark/>
                </w:tcPr>
                <w:p w14:paraId="25FEC553" w14:textId="77777777" w:rsidR="00172B50" w:rsidRPr="00502301" w:rsidRDefault="00172B50" w:rsidP="00172B50">
                  <w:pPr>
                    <w:jc w:val="center"/>
                    <w:rPr>
                      <w:rFonts w:cs="Tahoma"/>
                      <w:bCs/>
                      <w:szCs w:val="20"/>
                      <w:lang w:eastAsia="en-US"/>
                    </w:rPr>
                  </w:pPr>
                  <w:r>
                    <w:rPr>
                      <w:rFonts w:cs="Tahoma"/>
                      <w:bCs/>
                      <w:szCs w:val="20"/>
                      <w:lang w:eastAsia="en-US"/>
                    </w:rPr>
                    <w:t>Created</w:t>
                  </w:r>
                </w:p>
              </w:tc>
            </w:tr>
          </w:tbl>
          <w:p w14:paraId="32B50B65" w14:textId="72A8CEB8" w:rsidR="005B3C90" w:rsidRDefault="00CD4964" w:rsidP="00576725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 xml:space="preserve">JM outlined that </w:t>
            </w:r>
            <w:r w:rsidR="00A459AC">
              <w:rPr>
                <w:rFonts w:cs="Tahoma"/>
                <w:bCs/>
                <w:szCs w:val="20"/>
                <w:lang w:eastAsia="en-US"/>
              </w:rPr>
              <w:t xml:space="preserve">a </w:t>
            </w:r>
            <w:r w:rsidR="00CC3A37">
              <w:rPr>
                <w:rFonts w:cs="Tahoma"/>
                <w:bCs/>
                <w:szCs w:val="20"/>
                <w:lang w:eastAsia="en-US"/>
              </w:rPr>
              <w:t xml:space="preserve">GDN </w:t>
            </w:r>
            <w:r w:rsidR="00A459AC">
              <w:rPr>
                <w:rFonts w:cs="Tahoma"/>
                <w:bCs/>
                <w:szCs w:val="20"/>
                <w:lang w:eastAsia="en-US"/>
              </w:rPr>
              <w:t xml:space="preserve">session to discuss this was tabled. </w:t>
            </w:r>
            <w:r w:rsidR="00172B50">
              <w:rPr>
                <w:rFonts w:cs="Tahoma"/>
                <w:bCs/>
                <w:szCs w:val="20"/>
                <w:lang w:eastAsia="en-US"/>
              </w:rPr>
              <w:t xml:space="preserve">EB </w:t>
            </w:r>
            <w:r>
              <w:rPr>
                <w:rFonts w:cs="Tahoma"/>
                <w:bCs/>
                <w:szCs w:val="20"/>
                <w:lang w:eastAsia="en-US"/>
              </w:rPr>
              <w:t>noted</w:t>
            </w:r>
            <w:r w:rsidR="00172B50">
              <w:rPr>
                <w:rFonts w:cs="Tahoma"/>
                <w:bCs/>
                <w:szCs w:val="20"/>
                <w:lang w:eastAsia="en-US"/>
              </w:rPr>
              <w:t xml:space="preserve"> that </w:t>
            </w:r>
            <w:r w:rsidR="00E571E4">
              <w:rPr>
                <w:rFonts w:cs="Tahoma"/>
                <w:bCs/>
                <w:szCs w:val="20"/>
                <w:lang w:eastAsia="en-US"/>
              </w:rPr>
              <w:t>the key points addressed by the stakeholder survey were</w:t>
            </w:r>
            <w:r w:rsidR="007F4B09">
              <w:rPr>
                <w:rFonts w:cs="Tahoma"/>
                <w:bCs/>
                <w:szCs w:val="20"/>
                <w:lang w:eastAsia="en-US"/>
              </w:rPr>
              <w:t>, in some form,</w:t>
            </w:r>
            <w:r w:rsidR="00A459AC">
              <w:rPr>
                <w:rFonts w:cs="Tahoma"/>
                <w:bCs/>
                <w:szCs w:val="20"/>
                <w:lang w:eastAsia="en-US"/>
              </w:rPr>
              <w:t xml:space="preserve"> </w:t>
            </w:r>
            <w:r w:rsidR="00E571E4">
              <w:rPr>
                <w:rFonts w:cs="Tahoma"/>
                <w:bCs/>
                <w:szCs w:val="20"/>
                <w:lang w:eastAsia="en-US"/>
              </w:rPr>
              <w:t>being dealt with by the EnCF/Technical Working Group already</w:t>
            </w:r>
            <w:r>
              <w:rPr>
                <w:rFonts w:cs="Tahoma"/>
                <w:bCs/>
                <w:szCs w:val="20"/>
                <w:lang w:eastAsia="en-US"/>
              </w:rPr>
              <w:t>.</w:t>
            </w:r>
          </w:p>
          <w:p w14:paraId="50856B56" w14:textId="77777777" w:rsidR="0026201E" w:rsidRDefault="0026201E" w:rsidP="00576725">
            <w:pPr>
              <w:rPr>
                <w:rFonts w:cs="Tahoma"/>
                <w:bCs/>
                <w:szCs w:val="20"/>
                <w:lang w:eastAsia="en-US"/>
              </w:rPr>
            </w:pPr>
          </w:p>
          <w:tbl>
            <w:tblPr>
              <w:tblW w:w="9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60"/>
              <w:gridCol w:w="1191"/>
              <w:gridCol w:w="5613"/>
              <w:gridCol w:w="680"/>
              <w:gridCol w:w="1134"/>
            </w:tblGrid>
            <w:tr w:rsidR="00A459AC" w:rsidRPr="00502301" w14:paraId="3EDB6437" w14:textId="77777777" w:rsidTr="007538F8">
              <w:trPr>
                <w:trHeight w:val="397"/>
              </w:trPr>
              <w:tc>
                <w:tcPr>
                  <w:tcW w:w="560" w:type="dxa"/>
                  <w:shd w:val="clear" w:color="auto" w:fill="D9D9D9"/>
                  <w:tcMar>
                    <w:top w:w="12" w:type="dxa"/>
                    <w:left w:w="12" w:type="dxa"/>
                    <w:bottom w:w="72" w:type="dxa"/>
                    <w:right w:w="12" w:type="dxa"/>
                  </w:tcMar>
                  <w:vAlign w:val="center"/>
                  <w:hideMark/>
                </w:tcPr>
                <w:p w14:paraId="39D1B1BA" w14:textId="77777777" w:rsidR="00A459AC" w:rsidRPr="00502301" w:rsidRDefault="00A459AC" w:rsidP="00A459AC">
                  <w:pPr>
                    <w:jc w:val="center"/>
                    <w:rPr>
                      <w:rFonts w:cs="Tahoma"/>
                      <w:bCs/>
                      <w:szCs w:val="20"/>
                      <w:lang w:eastAsia="en-US"/>
                    </w:rPr>
                  </w:pPr>
                  <w:r>
                    <w:rPr>
                      <w:rFonts w:cs="Tahoma"/>
                      <w:bCs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191" w:type="dxa"/>
                  <w:shd w:val="clear" w:color="auto" w:fill="auto"/>
                  <w:tcMar>
                    <w:top w:w="12" w:type="dxa"/>
                    <w:left w:w="12" w:type="dxa"/>
                    <w:bottom w:w="72" w:type="dxa"/>
                    <w:right w:w="12" w:type="dxa"/>
                  </w:tcMar>
                  <w:vAlign w:val="center"/>
                  <w:hideMark/>
                </w:tcPr>
                <w:p w14:paraId="3C9C0DAE" w14:textId="77777777" w:rsidR="00A459AC" w:rsidRPr="00502301" w:rsidRDefault="00A459AC" w:rsidP="00A459AC">
                  <w:pPr>
                    <w:jc w:val="center"/>
                    <w:rPr>
                      <w:rFonts w:cs="Tahoma"/>
                      <w:bCs/>
                      <w:szCs w:val="20"/>
                      <w:lang w:eastAsia="en-US"/>
                    </w:rPr>
                  </w:pPr>
                  <w:r>
                    <w:rPr>
                      <w:rFonts w:cs="Tahoma"/>
                      <w:bCs/>
                      <w:szCs w:val="20"/>
                      <w:lang w:eastAsia="en-US"/>
                    </w:rPr>
                    <w:t>31</w:t>
                  </w:r>
                  <w:r w:rsidRPr="00502301">
                    <w:rPr>
                      <w:rFonts w:cs="Tahoma"/>
                      <w:bCs/>
                      <w:szCs w:val="20"/>
                      <w:lang w:eastAsia="en-US"/>
                    </w:rPr>
                    <w:t>-</w:t>
                  </w:r>
                  <w:r>
                    <w:rPr>
                      <w:rFonts w:cs="Tahoma"/>
                      <w:bCs/>
                      <w:szCs w:val="20"/>
                      <w:lang w:eastAsia="en-US"/>
                    </w:rPr>
                    <w:t>Jan</w:t>
                  </w:r>
                  <w:r w:rsidRPr="00502301">
                    <w:rPr>
                      <w:rFonts w:cs="Tahoma"/>
                      <w:bCs/>
                      <w:szCs w:val="20"/>
                      <w:lang w:eastAsia="en-US"/>
                    </w:rPr>
                    <w:t>-2</w:t>
                  </w:r>
                  <w:r>
                    <w:rPr>
                      <w:rFonts w:cs="Tahoma"/>
                      <w:bCs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5613" w:type="dxa"/>
                  <w:shd w:val="clear" w:color="auto" w:fill="auto"/>
                  <w:tcMar>
                    <w:top w:w="12" w:type="dxa"/>
                    <w:left w:w="12" w:type="dxa"/>
                    <w:bottom w:w="72" w:type="dxa"/>
                    <w:right w:w="12" w:type="dxa"/>
                  </w:tcMar>
                  <w:vAlign w:val="center"/>
                  <w:hideMark/>
                </w:tcPr>
                <w:p w14:paraId="49C58F46" w14:textId="1017F82C" w:rsidR="00A459AC" w:rsidRPr="00502301" w:rsidRDefault="00664BA8" w:rsidP="00A459AC">
                  <w:pPr>
                    <w:rPr>
                      <w:rFonts w:cs="Tahoma"/>
                      <w:bCs/>
                      <w:szCs w:val="20"/>
                      <w:lang w:eastAsia="en-US"/>
                    </w:rPr>
                  </w:pPr>
                  <w:r w:rsidRPr="00664BA8">
                    <w:rPr>
                      <w:rFonts w:cs="Tahoma"/>
                      <w:bCs/>
                      <w:szCs w:val="20"/>
                      <w:lang w:val="en-US" w:eastAsia="en-US"/>
                    </w:rPr>
                    <w:t>Cadent to present a deep dive on the technical specifications, and separately provide an update on the Reverse Compression site at Doncaster to share</w:t>
                  </w:r>
                  <w:r>
                    <w:rPr>
                      <w:rFonts w:cs="Tahoma"/>
                      <w:bCs/>
                      <w:szCs w:val="20"/>
                      <w:lang w:val="en-US" w:eastAsia="en-US"/>
                    </w:rPr>
                    <w:t xml:space="preserve"> </w:t>
                  </w:r>
                  <w:r w:rsidRPr="00664BA8">
                    <w:rPr>
                      <w:rFonts w:cs="Tahoma"/>
                      <w:bCs/>
                      <w:szCs w:val="20"/>
                      <w:lang w:val="en-US" w:eastAsia="en-US"/>
                    </w:rPr>
                    <w:t>learnings to the group.</w:t>
                  </w:r>
                </w:p>
              </w:tc>
              <w:tc>
                <w:tcPr>
                  <w:tcW w:w="680" w:type="dxa"/>
                  <w:shd w:val="clear" w:color="auto" w:fill="auto"/>
                  <w:tcMar>
                    <w:top w:w="12" w:type="dxa"/>
                    <w:left w:w="12" w:type="dxa"/>
                    <w:bottom w:w="72" w:type="dxa"/>
                    <w:right w:w="12" w:type="dxa"/>
                  </w:tcMar>
                  <w:vAlign w:val="center"/>
                  <w:hideMark/>
                </w:tcPr>
                <w:p w14:paraId="3B1639B6" w14:textId="77777777" w:rsidR="00A459AC" w:rsidRPr="00502301" w:rsidRDefault="00A459AC" w:rsidP="00A459AC">
                  <w:pPr>
                    <w:jc w:val="center"/>
                    <w:rPr>
                      <w:rFonts w:cs="Tahoma"/>
                      <w:bCs/>
                      <w:szCs w:val="20"/>
                      <w:lang w:eastAsia="en-US"/>
                    </w:rPr>
                  </w:pPr>
                  <w:r>
                    <w:rPr>
                      <w:rFonts w:cs="Tahoma"/>
                      <w:bCs/>
                      <w:szCs w:val="20"/>
                      <w:lang w:eastAsia="en-US"/>
                    </w:rPr>
                    <w:t>EB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2" w:type="dxa"/>
                    <w:left w:w="12" w:type="dxa"/>
                    <w:bottom w:w="72" w:type="dxa"/>
                    <w:right w:w="12" w:type="dxa"/>
                  </w:tcMar>
                  <w:vAlign w:val="center"/>
                  <w:hideMark/>
                </w:tcPr>
                <w:p w14:paraId="5EB0C751" w14:textId="77777777" w:rsidR="00A459AC" w:rsidRPr="00502301" w:rsidRDefault="00A459AC" w:rsidP="00A459AC">
                  <w:pPr>
                    <w:jc w:val="center"/>
                    <w:rPr>
                      <w:rFonts w:cs="Tahoma"/>
                      <w:bCs/>
                      <w:szCs w:val="20"/>
                      <w:lang w:eastAsia="en-US"/>
                    </w:rPr>
                  </w:pPr>
                  <w:r>
                    <w:rPr>
                      <w:rFonts w:cs="Tahoma"/>
                      <w:bCs/>
                      <w:szCs w:val="20"/>
                      <w:lang w:eastAsia="en-US"/>
                    </w:rPr>
                    <w:t>Created</w:t>
                  </w:r>
                </w:p>
              </w:tc>
            </w:tr>
          </w:tbl>
          <w:p w14:paraId="1EA3E727" w14:textId="77777777" w:rsidR="00E74BB3" w:rsidRDefault="007538F8" w:rsidP="00295A62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SE had outlined by email that</w:t>
            </w:r>
            <w:r w:rsidR="00444584">
              <w:rPr>
                <w:rFonts w:cs="Tahoma"/>
                <w:bCs/>
                <w:szCs w:val="20"/>
                <w:lang w:eastAsia="en-US"/>
              </w:rPr>
              <w:t xml:space="preserve"> RC was on paternity leave, but upon his return, he would circulate the specifications on April 10th, with a deep dive scheduled on April 14th.</w:t>
            </w:r>
            <w:r w:rsidR="004B7F8D">
              <w:rPr>
                <w:rFonts w:cs="Tahoma"/>
                <w:bCs/>
                <w:szCs w:val="20"/>
                <w:lang w:eastAsia="en-US"/>
              </w:rPr>
              <w:t xml:space="preserve"> AC explained that she would appreciate a wider stakeholder session (rather than a networks-only session)</w:t>
            </w:r>
            <w:r w:rsidR="00E74BB3">
              <w:rPr>
                <w:rFonts w:cs="Tahoma"/>
                <w:bCs/>
                <w:szCs w:val="20"/>
                <w:lang w:eastAsia="en-US"/>
              </w:rPr>
              <w:t>, and wished to ensure that these compressors would be cheap, readily available and easily maintainable, rather than “one-offs”.</w:t>
            </w:r>
          </w:p>
          <w:p w14:paraId="3DA1951E" w14:textId="77777777" w:rsidR="003D47A2" w:rsidRDefault="00E74BB3" w:rsidP="0035282C">
            <w:pPr>
              <w:rPr>
                <w:rFonts w:cs="Tahoma"/>
                <w:b/>
                <w:szCs w:val="20"/>
                <w:lang w:eastAsia="en-US"/>
              </w:rPr>
            </w:pPr>
            <w:r>
              <w:rPr>
                <w:rFonts w:cs="Tahoma"/>
                <w:b/>
                <w:szCs w:val="20"/>
                <w:lang w:eastAsia="en-US"/>
              </w:rPr>
              <w:t>Action: MR to follow up on a wider stakeholder engagement session on Cadent’s reverse compress</w:t>
            </w:r>
            <w:r w:rsidR="00EA117A">
              <w:rPr>
                <w:rFonts w:cs="Tahoma"/>
                <w:b/>
                <w:szCs w:val="20"/>
                <w:lang w:eastAsia="en-US"/>
              </w:rPr>
              <w:t>ion site</w:t>
            </w:r>
            <w:r w:rsidR="00F11128">
              <w:rPr>
                <w:rFonts w:cs="Tahoma"/>
                <w:b/>
                <w:szCs w:val="20"/>
                <w:lang w:eastAsia="en-US"/>
              </w:rPr>
              <w:t xml:space="preserve"> (in addition to the </w:t>
            </w:r>
            <w:r w:rsidR="007B6DF2" w:rsidRPr="00EB6A3C">
              <w:rPr>
                <w:rFonts w:cs="Tahoma"/>
                <w:b/>
                <w:szCs w:val="20"/>
                <w:lang w:eastAsia="en-US"/>
              </w:rPr>
              <w:t>April 14</w:t>
            </w:r>
            <w:r w:rsidR="00F11128">
              <w:rPr>
                <w:rFonts w:cs="Tahoma"/>
                <w:b/>
                <w:szCs w:val="20"/>
                <w:lang w:eastAsia="en-US"/>
              </w:rPr>
              <w:t>th deep dive).</w:t>
            </w:r>
          </w:p>
          <w:p w14:paraId="114738EC" w14:textId="5C383244" w:rsidR="00E21086" w:rsidRPr="00E21086" w:rsidRDefault="00E21086" w:rsidP="0035282C">
            <w:pPr>
              <w:rPr>
                <w:rFonts w:cs="Tahoma"/>
                <w:i/>
                <w:iCs/>
                <w:szCs w:val="20"/>
                <w:lang w:eastAsia="en-US"/>
              </w:rPr>
            </w:pPr>
            <w:r w:rsidRPr="00E21086">
              <w:rPr>
                <w:rFonts w:cs="Tahoma"/>
                <w:i/>
                <w:iCs/>
                <w:szCs w:val="20"/>
                <w:lang w:eastAsia="en-US"/>
              </w:rPr>
              <w:t xml:space="preserve">Post-meeting edit: SE/RC confirmed that the planned sessions are </w:t>
            </w:r>
            <w:r w:rsidRPr="00E21086">
              <w:rPr>
                <w:rFonts w:cs="Tahoma"/>
                <w:i/>
                <w:iCs/>
                <w:szCs w:val="20"/>
                <w:u w:val="single"/>
                <w:lang w:eastAsia="en-US"/>
              </w:rPr>
              <w:t>not</w:t>
            </w:r>
            <w:r w:rsidRPr="00E21086">
              <w:rPr>
                <w:rFonts w:cs="Tahoma"/>
                <w:i/>
                <w:iCs/>
                <w:szCs w:val="20"/>
                <w:lang w:eastAsia="en-US"/>
              </w:rPr>
              <w:t xml:space="preserve"> networks-only.</w:t>
            </w:r>
          </w:p>
        </w:tc>
      </w:tr>
    </w:tbl>
    <w:p w14:paraId="679F40A9" w14:textId="7B79C156" w:rsidR="002034B7" w:rsidRDefault="002034B7" w:rsidP="002034B7">
      <w:pPr>
        <w:rPr>
          <w:rStyle w:val="SubtleReference"/>
          <w:smallCaps w:val="0"/>
          <w:color w:val="auto"/>
        </w:rPr>
      </w:pPr>
    </w:p>
    <w:tbl>
      <w:tblPr>
        <w:tblW w:w="9778" w:type="dxa"/>
        <w:tblBorders>
          <w:top w:val="single" w:sz="2" w:space="0" w:color="A6ACA9" w:themeColor="background2"/>
          <w:left w:val="single" w:sz="2" w:space="0" w:color="A6ACA9" w:themeColor="background2"/>
          <w:bottom w:val="single" w:sz="2" w:space="0" w:color="A6ACA9" w:themeColor="background2"/>
          <w:right w:val="single" w:sz="2" w:space="0" w:color="A6ACA9" w:themeColor="background2"/>
          <w:insideH w:val="single" w:sz="2" w:space="0" w:color="A6ACA9" w:themeColor="background2"/>
          <w:insideV w:val="single" w:sz="2" w:space="0" w:color="A6ACA9" w:themeColor="background2"/>
        </w:tblBorders>
        <w:tblLook w:val="0420" w:firstRow="1" w:lastRow="0" w:firstColumn="0" w:lastColumn="0" w:noHBand="0" w:noVBand="1"/>
      </w:tblPr>
      <w:tblGrid>
        <w:gridCol w:w="8077"/>
        <w:gridCol w:w="1701"/>
      </w:tblGrid>
      <w:tr w:rsidR="00D34903" w:rsidRPr="00232395" w14:paraId="6741E4DE" w14:textId="77777777" w:rsidTr="009734BB">
        <w:trPr>
          <w:trHeight w:val="482"/>
        </w:trPr>
        <w:tc>
          <w:tcPr>
            <w:tcW w:w="8077" w:type="dxa"/>
            <w:shd w:val="clear" w:color="auto" w:fill="009FE3" w:themeFill="accent4"/>
            <w:vAlign w:val="center"/>
          </w:tcPr>
          <w:p w14:paraId="215DFAF4" w14:textId="244EB5E5" w:rsidR="00D34903" w:rsidRPr="00232395" w:rsidRDefault="003A5D0D" w:rsidP="009734BB">
            <w:pP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 xml:space="preserve">3. </w:t>
            </w:r>
            <w:r w:rsidR="00F37A09"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EnCF Action Plan Tracker</w:t>
            </w:r>
          </w:p>
        </w:tc>
        <w:tc>
          <w:tcPr>
            <w:tcW w:w="1701" w:type="dxa"/>
            <w:shd w:val="clear" w:color="auto" w:fill="009FE3" w:themeFill="accent4"/>
            <w:vAlign w:val="center"/>
          </w:tcPr>
          <w:p w14:paraId="2D711BBD" w14:textId="7C68FB85" w:rsidR="00D34903" w:rsidRPr="00232395" w:rsidRDefault="005B3C90" w:rsidP="009734BB">
            <w:pPr>
              <w:jc w:val="center"/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ALL</w:t>
            </w:r>
          </w:p>
        </w:tc>
      </w:tr>
      <w:tr w:rsidR="00D34903" w:rsidRPr="00232395" w14:paraId="2CBF9965" w14:textId="77777777" w:rsidTr="009734BB">
        <w:trPr>
          <w:trHeight w:val="482"/>
        </w:trPr>
        <w:tc>
          <w:tcPr>
            <w:tcW w:w="9778" w:type="dxa"/>
            <w:gridSpan w:val="2"/>
            <w:shd w:val="clear" w:color="auto" w:fill="E1F6FF"/>
            <w:vAlign w:val="center"/>
          </w:tcPr>
          <w:p w14:paraId="1EB86BD0" w14:textId="77777777" w:rsidR="00D34903" w:rsidRPr="00682146" w:rsidRDefault="00A2744D" w:rsidP="00A2744D">
            <w:pPr>
              <w:pStyle w:val="ListParagraph"/>
              <w:numPr>
                <w:ilvl w:val="0"/>
                <w:numId w:val="12"/>
              </w:numPr>
              <w:rPr>
                <w:rFonts w:cs="Tahoma"/>
                <w:bCs/>
                <w:szCs w:val="20"/>
                <w:u w:val="single"/>
                <w:lang w:eastAsia="en-US"/>
              </w:rPr>
            </w:pPr>
            <w:r w:rsidRPr="00682146">
              <w:rPr>
                <w:rFonts w:cs="Tahoma"/>
                <w:bCs/>
                <w:szCs w:val="20"/>
                <w:u w:val="single"/>
                <w:lang w:eastAsia="en-US"/>
              </w:rPr>
              <w:t>CV Blips and Flaring – Lack of CV Flexibility during plant start-up</w:t>
            </w:r>
          </w:p>
          <w:p w14:paraId="3A776823" w14:textId="37E1CC54" w:rsidR="00193C85" w:rsidRDefault="00CA5F3A" w:rsidP="003D47A2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 xml:space="preserve">RB updated </w:t>
            </w:r>
            <w:r w:rsidR="005B3C90">
              <w:rPr>
                <w:rFonts w:cs="Tahoma"/>
                <w:bCs/>
                <w:szCs w:val="20"/>
                <w:lang w:eastAsia="en-US"/>
              </w:rPr>
              <w:t xml:space="preserve">that he had run through the draft document with each GDN early in the new </w:t>
            </w:r>
            <w:proofErr w:type="gramStart"/>
            <w:r w:rsidR="005B3C90">
              <w:rPr>
                <w:rFonts w:cs="Tahoma"/>
                <w:bCs/>
                <w:szCs w:val="20"/>
                <w:lang w:eastAsia="en-US"/>
              </w:rPr>
              <w:t>year, and</w:t>
            </w:r>
            <w:proofErr w:type="gramEnd"/>
            <w:r w:rsidR="005B3C90">
              <w:rPr>
                <w:rFonts w:cs="Tahoma"/>
                <w:bCs/>
                <w:szCs w:val="20"/>
                <w:lang w:eastAsia="en-US"/>
              </w:rPr>
              <w:t xml:space="preserve"> had created a flowchart of how the system would behave</w:t>
            </w:r>
            <w:r>
              <w:rPr>
                <w:rFonts w:cs="Tahoma"/>
                <w:bCs/>
                <w:szCs w:val="20"/>
                <w:lang w:eastAsia="en-US"/>
              </w:rPr>
              <w:t xml:space="preserve"> </w:t>
            </w:r>
            <w:r w:rsidR="005B3C90">
              <w:rPr>
                <w:rFonts w:cs="Tahoma"/>
                <w:bCs/>
                <w:szCs w:val="20"/>
                <w:lang w:eastAsia="en-US"/>
              </w:rPr>
              <w:t>(i.e., to show each of the elements</w:t>
            </w:r>
            <w:r w:rsidR="0021749F">
              <w:rPr>
                <w:rFonts w:cs="Tahoma"/>
                <w:bCs/>
                <w:szCs w:val="20"/>
                <w:lang w:eastAsia="en-US"/>
              </w:rPr>
              <w:t xml:space="preserve"> to take the gas to reject, export…). Having obtained some real data from NGN, the next steps were to </w:t>
            </w:r>
            <w:r w:rsidR="00C61E44">
              <w:rPr>
                <w:rFonts w:cs="Tahoma"/>
                <w:bCs/>
                <w:szCs w:val="20"/>
                <w:lang w:eastAsia="en-US"/>
              </w:rPr>
              <w:t>test</w:t>
            </w:r>
            <w:r w:rsidR="0021749F">
              <w:rPr>
                <w:rFonts w:cs="Tahoma"/>
                <w:bCs/>
                <w:szCs w:val="20"/>
                <w:lang w:eastAsia="en-US"/>
              </w:rPr>
              <w:t xml:space="preserve"> the outcomes of some typical days with CV blips</w:t>
            </w:r>
            <w:r w:rsidR="00AF3C29">
              <w:rPr>
                <w:rFonts w:cs="Tahoma"/>
                <w:bCs/>
                <w:szCs w:val="20"/>
                <w:lang w:eastAsia="en-US"/>
              </w:rPr>
              <w:t xml:space="preserve">. </w:t>
            </w:r>
            <w:r w:rsidR="00C61E44">
              <w:rPr>
                <w:rFonts w:cs="Tahoma"/>
                <w:bCs/>
                <w:szCs w:val="20"/>
                <w:lang w:eastAsia="en-US"/>
              </w:rPr>
              <w:t xml:space="preserve">RB added that the solution was designed to be flexible, and capable of maintaining the </w:t>
            </w:r>
            <w:r w:rsidR="00D23519">
              <w:rPr>
                <w:rFonts w:cs="Tahoma"/>
                <w:bCs/>
                <w:szCs w:val="20"/>
                <w:lang w:eastAsia="en-US"/>
              </w:rPr>
              <w:t>structure with e.g., different timings between GDNs.</w:t>
            </w:r>
          </w:p>
          <w:p w14:paraId="2A4DF86B" w14:textId="740696E5" w:rsidR="00AF3C29" w:rsidRPr="0021504D" w:rsidRDefault="0021504D" w:rsidP="003D47A2">
            <w:pPr>
              <w:rPr>
                <w:rFonts w:cs="Tahoma"/>
                <w:bCs/>
                <w:szCs w:val="20"/>
                <w:lang w:eastAsia="en-US"/>
              </w:rPr>
            </w:pPr>
            <w:r w:rsidRPr="0021504D">
              <w:rPr>
                <w:rFonts w:cs="Tahoma"/>
                <w:bCs/>
                <w:szCs w:val="20"/>
                <w:lang w:eastAsia="en-US"/>
              </w:rPr>
              <w:t xml:space="preserve">Flowchart available here: </w:t>
            </w:r>
            <w:hyperlink r:id="rId11" w:anchor="/110529292" w:history="1">
              <w:r w:rsidR="00F46CE3">
                <w:rPr>
                  <w:rStyle w:val="Hyperlink"/>
                </w:rPr>
                <w:t>CVBlipsProposalRev0 (huddle.net)</w:t>
              </w:r>
            </w:hyperlink>
          </w:p>
          <w:p w14:paraId="4A7EADCD" w14:textId="749A9586" w:rsidR="007A22B9" w:rsidRDefault="00AF3C29" w:rsidP="003D47A2">
            <w:pPr>
              <w:rPr>
                <w:rFonts w:cs="Tahoma"/>
                <w:b/>
                <w:szCs w:val="20"/>
                <w:lang w:eastAsia="en-US"/>
              </w:rPr>
            </w:pPr>
            <w:r w:rsidRPr="00D23519">
              <w:rPr>
                <w:rFonts w:cs="Tahoma"/>
                <w:b/>
                <w:szCs w:val="20"/>
                <w:lang w:eastAsia="en-US"/>
              </w:rPr>
              <w:t xml:space="preserve">Action: </w:t>
            </w:r>
            <w:r w:rsidR="00C03DEF">
              <w:rPr>
                <w:rFonts w:cs="Tahoma"/>
                <w:b/>
                <w:szCs w:val="20"/>
                <w:lang w:eastAsia="en-US"/>
              </w:rPr>
              <w:t>Once the NGN data has been tested, MR to set up a session with GDNs and RB</w:t>
            </w:r>
            <w:r w:rsidR="005D3EC6">
              <w:rPr>
                <w:rFonts w:cs="Tahoma"/>
                <w:b/>
                <w:szCs w:val="20"/>
                <w:lang w:eastAsia="en-US"/>
              </w:rPr>
              <w:t xml:space="preserve"> to review the CV Blips solution and if/how the GDNs intend to implement it, to report back to the EnCF.</w:t>
            </w:r>
          </w:p>
          <w:p w14:paraId="55A1A77F" w14:textId="77777777" w:rsidR="0026201E" w:rsidRPr="005D3EC6" w:rsidRDefault="0026201E" w:rsidP="003D47A2">
            <w:pPr>
              <w:rPr>
                <w:rFonts w:cs="Tahoma"/>
                <w:b/>
                <w:szCs w:val="20"/>
                <w:lang w:eastAsia="en-US"/>
              </w:rPr>
            </w:pPr>
          </w:p>
          <w:p w14:paraId="41C721A7" w14:textId="77777777" w:rsidR="00A2744D" w:rsidRPr="00682146" w:rsidRDefault="00A2744D" w:rsidP="00A2744D">
            <w:pPr>
              <w:pStyle w:val="ListParagraph"/>
              <w:numPr>
                <w:ilvl w:val="0"/>
                <w:numId w:val="12"/>
              </w:numPr>
              <w:rPr>
                <w:rFonts w:cs="Tahoma"/>
                <w:bCs/>
                <w:szCs w:val="20"/>
                <w:u w:val="single"/>
                <w:lang w:eastAsia="en-US"/>
              </w:rPr>
            </w:pPr>
            <w:r w:rsidRPr="00682146">
              <w:rPr>
                <w:rFonts w:cs="Tahoma"/>
                <w:bCs/>
                <w:szCs w:val="20"/>
                <w:u w:val="single"/>
                <w:lang w:eastAsia="en-US"/>
              </w:rPr>
              <w:t>Biomethane blending – GDN inconsistencies with blending</w:t>
            </w:r>
          </w:p>
          <w:p w14:paraId="263C7C5C" w14:textId="2E7772BF" w:rsidR="003D47A2" w:rsidRDefault="005D3EC6" w:rsidP="003D47A2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 xml:space="preserve">TH updated that </w:t>
            </w:r>
            <w:r w:rsidR="00EB6A3C">
              <w:rPr>
                <w:rFonts w:cs="Tahoma"/>
                <w:bCs/>
                <w:szCs w:val="20"/>
                <w:lang w:eastAsia="en-US"/>
              </w:rPr>
              <w:t xml:space="preserve">Cadent’s </w:t>
            </w:r>
            <w:r>
              <w:rPr>
                <w:rFonts w:cs="Tahoma"/>
                <w:bCs/>
                <w:szCs w:val="20"/>
                <w:lang w:eastAsia="en-US"/>
              </w:rPr>
              <w:t xml:space="preserve">blending document had </w:t>
            </w:r>
            <w:r w:rsidR="00EB6A3C">
              <w:rPr>
                <w:rFonts w:cs="Tahoma"/>
                <w:bCs/>
                <w:szCs w:val="20"/>
                <w:lang w:eastAsia="en-US"/>
              </w:rPr>
              <w:t>been shared among</w:t>
            </w:r>
            <w:r>
              <w:rPr>
                <w:rFonts w:cs="Tahoma"/>
                <w:bCs/>
                <w:szCs w:val="20"/>
                <w:lang w:eastAsia="en-US"/>
              </w:rPr>
              <w:t>st</w:t>
            </w:r>
            <w:r w:rsidR="00EB6A3C">
              <w:rPr>
                <w:rFonts w:cs="Tahoma"/>
                <w:bCs/>
                <w:szCs w:val="20"/>
                <w:lang w:eastAsia="en-US"/>
              </w:rPr>
              <w:t xml:space="preserve"> the GDNs</w:t>
            </w:r>
            <w:r w:rsidR="004A6AFD">
              <w:rPr>
                <w:rFonts w:cs="Tahoma"/>
                <w:bCs/>
                <w:szCs w:val="20"/>
                <w:lang w:eastAsia="en-US"/>
              </w:rPr>
              <w:t xml:space="preserve">, feedback </w:t>
            </w:r>
            <w:r>
              <w:rPr>
                <w:rFonts w:cs="Tahoma"/>
                <w:bCs/>
                <w:szCs w:val="20"/>
                <w:lang w:eastAsia="en-US"/>
              </w:rPr>
              <w:t xml:space="preserve">had been </w:t>
            </w:r>
            <w:r w:rsidR="004A6AFD">
              <w:rPr>
                <w:rFonts w:cs="Tahoma"/>
                <w:bCs/>
                <w:szCs w:val="20"/>
                <w:lang w:eastAsia="en-US"/>
              </w:rPr>
              <w:t xml:space="preserve">received, </w:t>
            </w:r>
            <w:r>
              <w:rPr>
                <w:rFonts w:cs="Tahoma"/>
                <w:bCs/>
                <w:szCs w:val="20"/>
                <w:lang w:eastAsia="en-US"/>
              </w:rPr>
              <w:t>and the document was pending</w:t>
            </w:r>
            <w:r w:rsidR="00151722">
              <w:rPr>
                <w:rFonts w:cs="Tahoma"/>
                <w:bCs/>
                <w:szCs w:val="20"/>
                <w:lang w:eastAsia="en-US"/>
              </w:rPr>
              <w:t xml:space="preserve"> approval with Cadent’s internal governance. </w:t>
            </w:r>
            <w:r w:rsidR="00BC7082">
              <w:rPr>
                <w:rFonts w:cs="Tahoma"/>
                <w:bCs/>
                <w:szCs w:val="20"/>
                <w:lang w:eastAsia="en-US"/>
              </w:rPr>
              <w:t xml:space="preserve">MJ </w:t>
            </w:r>
            <w:r w:rsidR="00151722">
              <w:rPr>
                <w:rFonts w:cs="Tahoma"/>
                <w:bCs/>
                <w:szCs w:val="20"/>
                <w:lang w:eastAsia="en-US"/>
              </w:rPr>
              <w:t>provided a timeline of c.</w:t>
            </w:r>
            <w:r w:rsidR="00BC7082">
              <w:rPr>
                <w:rFonts w:cs="Tahoma"/>
                <w:bCs/>
                <w:szCs w:val="20"/>
                <w:lang w:eastAsia="en-US"/>
              </w:rPr>
              <w:t>4-6 weeks</w:t>
            </w:r>
            <w:r w:rsidR="00151722">
              <w:rPr>
                <w:rFonts w:cs="Tahoma"/>
                <w:bCs/>
                <w:szCs w:val="20"/>
                <w:lang w:eastAsia="en-US"/>
              </w:rPr>
              <w:t xml:space="preserve"> for this process</w:t>
            </w:r>
            <w:r w:rsidR="00BC7082">
              <w:rPr>
                <w:rFonts w:cs="Tahoma"/>
                <w:bCs/>
                <w:szCs w:val="20"/>
                <w:lang w:eastAsia="en-US"/>
              </w:rPr>
              <w:t>,</w:t>
            </w:r>
            <w:r w:rsidR="00151722">
              <w:rPr>
                <w:rFonts w:cs="Tahoma"/>
                <w:bCs/>
                <w:szCs w:val="20"/>
                <w:lang w:eastAsia="en-US"/>
              </w:rPr>
              <w:t xml:space="preserve"> at which point the document will be available to </w:t>
            </w:r>
            <w:r w:rsidR="00F22918">
              <w:rPr>
                <w:rFonts w:cs="Tahoma"/>
                <w:bCs/>
                <w:szCs w:val="20"/>
                <w:lang w:eastAsia="en-US"/>
              </w:rPr>
              <w:t>view.</w:t>
            </w:r>
          </w:p>
          <w:p w14:paraId="59514247" w14:textId="78DEE81B" w:rsidR="00F22918" w:rsidRDefault="00A21CC2" w:rsidP="003D47A2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 xml:space="preserve">HF asked the group if there were any projects in progress which did not use a </w:t>
            </w:r>
            <w:r w:rsidR="00204546">
              <w:rPr>
                <w:rFonts w:cs="Tahoma"/>
                <w:bCs/>
                <w:szCs w:val="20"/>
                <w:lang w:eastAsia="en-US"/>
              </w:rPr>
              <w:t>T</w:t>
            </w:r>
            <w:r>
              <w:rPr>
                <w:rFonts w:cs="Tahoma"/>
                <w:bCs/>
                <w:szCs w:val="20"/>
                <w:lang w:eastAsia="en-US"/>
              </w:rPr>
              <w:t xml:space="preserve">ee </w:t>
            </w:r>
            <w:r w:rsidR="00204546">
              <w:rPr>
                <w:rFonts w:cs="Tahoma"/>
                <w:bCs/>
                <w:szCs w:val="20"/>
                <w:lang w:eastAsia="en-US"/>
              </w:rPr>
              <w:t>B</w:t>
            </w:r>
            <w:r>
              <w:rPr>
                <w:rFonts w:cs="Tahoma"/>
                <w:bCs/>
                <w:szCs w:val="20"/>
                <w:lang w:eastAsia="en-US"/>
              </w:rPr>
              <w:t>lender</w:t>
            </w:r>
            <w:r w:rsidR="00E800A4">
              <w:rPr>
                <w:rFonts w:cs="Tahoma"/>
                <w:bCs/>
                <w:szCs w:val="20"/>
                <w:lang w:eastAsia="en-US"/>
              </w:rPr>
              <w:t>; JM mentioned an existing blending point which injects biomethane through a flange with multiple gas points, but that SGN had none</w:t>
            </w:r>
            <w:r w:rsidR="00A3283A">
              <w:rPr>
                <w:rFonts w:cs="Tahoma"/>
                <w:bCs/>
                <w:szCs w:val="20"/>
                <w:lang w:eastAsia="en-US"/>
              </w:rPr>
              <w:t xml:space="preserve"> relying on gas blending in the pipe itself </w:t>
            </w:r>
            <w:r w:rsidR="00BA4F1C">
              <w:rPr>
                <w:rFonts w:cs="Tahoma"/>
                <w:bCs/>
                <w:szCs w:val="20"/>
                <w:lang w:eastAsia="en-US"/>
              </w:rPr>
              <w:t xml:space="preserve">(RH: “fortuitous co-mingling”) </w:t>
            </w:r>
            <w:r w:rsidR="00A3283A">
              <w:rPr>
                <w:rFonts w:cs="Tahoma"/>
                <w:bCs/>
                <w:szCs w:val="20"/>
                <w:lang w:eastAsia="en-US"/>
              </w:rPr>
              <w:t xml:space="preserve">without </w:t>
            </w:r>
            <w:r w:rsidR="00BA4F1C">
              <w:rPr>
                <w:rFonts w:cs="Tahoma"/>
                <w:bCs/>
                <w:szCs w:val="20"/>
                <w:lang w:eastAsia="en-US"/>
              </w:rPr>
              <w:t>a</w:t>
            </w:r>
            <w:r w:rsidR="00A3283A">
              <w:rPr>
                <w:rFonts w:cs="Tahoma"/>
                <w:bCs/>
                <w:szCs w:val="20"/>
                <w:lang w:eastAsia="en-US"/>
              </w:rPr>
              <w:t xml:space="preserve"> blending asset</w:t>
            </w:r>
            <w:r w:rsidR="00BA4F1C">
              <w:rPr>
                <w:rFonts w:cs="Tahoma"/>
                <w:bCs/>
                <w:szCs w:val="20"/>
                <w:lang w:eastAsia="en-US"/>
              </w:rPr>
              <w:t>.</w:t>
            </w:r>
          </w:p>
          <w:p w14:paraId="5DC60B9B" w14:textId="77777777" w:rsidR="0026201E" w:rsidRDefault="0026201E" w:rsidP="003D47A2">
            <w:pPr>
              <w:rPr>
                <w:rFonts w:cs="Tahoma"/>
                <w:bCs/>
                <w:szCs w:val="20"/>
                <w:lang w:eastAsia="en-US"/>
              </w:rPr>
            </w:pPr>
          </w:p>
          <w:p w14:paraId="4131B2EC" w14:textId="5FB0BD22" w:rsidR="00A2744D" w:rsidRPr="00682146" w:rsidRDefault="00A2744D" w:rsidP="00A2744D">
            <w:pPr>
              <w:pStyle w:val="ListParagraph"/>
              <w:numPr>
                <w:ilvl w:val="0"/>
                <w:numId w:val="12"/>
              </w:numPr>
              <w:rPr>
                <w:rFonts w:cs="Tahoma"/>
                <w:bCs/>
                <w:szCs w:val="20"/>
                <w:u w:val="single"/>
                <w:lang w:eastAsia="en-US"/>
              </w:rPr>
            </w:pPr>
            <w:r w:rsidRPr="00682146">
              <w:rPr>
                <w:rFonts w:cs="Tahoma"/>
                <w:bCs/>
                <w:szCs w:val="20"/>
                <w:u w:val="single"/>
                <w:lang w:eastAsia="en-US"/>
              </w:rPr>
              <w:t>SGS Issues</w:t>
            </w:r>
          </w:p>
          <w:p w14:paraId="40F6392C" w14:textId="22AF6C26" w:rsidR="00085009" w:rsidRDefault="00BA4F1C" w:rsidP="003D47A2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JM reported</w:t>
            </w:r>
            <w:r w:rsidR="0099493D">
              <w:rPr>
                <w:rFonts w:cs="Tahoma"/>
                <w:bCs/>
                <w:szCs w:val="20"/>
                <w:lang w:eastAsia="en-US"/>
              </w:rPr>
              <w:t xml:space="preserve"> </w:t>
            </w:r>
            <w:r w:rsidR="00394347">
              <w:rPr>
                <w:rFonts w:cs="Tahoma"/>
                <w:bCs/>
                <w:szCs w:val="20"/>
                <w:lang w:eastAsia="en-US"/>
              </w:rPr>
              <w:t xml:space="preserve">that </w:t>
            </w:r>
            <w:r w:rsidR="0099493D">
              <w:rPr>
                <w:rFonts w:cs="Tahoma"/>
                <w:bCs/>
                <w:szCs w:val="20"/>
                <w:lang w:eastAsia="en-US"/>
              </w:rPr>
              <w:t>the networks were in the process of refreshing the SGS Dashboard with 2023 Q1 data, and that</w:t>
            </w:r>
            <w:r w:rsidR="00085009">
              <w:rPr>
                <w:rFonts w:cs="Tahoma"/>
                <w:bCs/>
                <w:szCs w:val="20"/>
                <w:lang w:eastAsia="en-US"/>
              </w:rPr>
              <w:t xml:space="preserve"> from 2021 to 2022 there had been</w:t>
            </w:r>
            <w:r>
              <w:rPr>
                <w:rFonts w:cs="Tahoma"/>
                <w:bCs/>
                <w:szCs w:val="20"/>
                <w:lang w:eastAsia="en-US"/>
              </w:rPr>
              <w:t xml:space="preserve"> an increase in letter of approval deviations</w:t>
            </w:r>
            <w:r w:rsidR="00085009">
              <w:rPr>
                <w:rFonts w:cs="Tahoma"/>
                <w:bCs/>
                <w:szCs w:val="20"/>
                <w:lang w:eastAsia="en-US"/>
              </w:rPr>
              <w:t xml:space="preserve">. </w:t>
            </w:r>
            <w:r w:rsidR="00B17869">
              <w:rPr>
                <w:rFonts w:cs="Tahoma"/>
                <w:bCs/>
                <w:szCs w:val="20"/>
                <w:lang w:eastAsia="en-US"/>
              </w:rPr>
              <w:t xml:space="preserve">CL and JM agreed that staff turnover was a likely cause of these deviations, </w:t>
            </w:r>
            <w:r w:rsidR="00C5587E">
              <w:rPr>
                <w:rFonts w:cs="Tahoma"/>
                <w:bCs/>
                <w:szCs w:val="20"/>
                <w:lang w:eastAsia="en-US"/>
              </w:rPr>
              <w:t>and so new training programmes</w:t>
            </w:r>
            <w:r w:rsidR="00394347">
              <w:rPr>
                <w:rFonts w:cs="Tahoma"/>
                <w:bCs/>
                <w:szCs w:val="20"/>
                <w:lang w:eastAsia="en-US"/>
              </w:rPr>
              <w:t xml:space="preserve"> were needed</w:t>
            </w:r>
            <w:r w:rsidR="00005885">
              <w:rPr>
                <w:rFonts w:cs="Tahoma"/>
                <w:bCs/>
                <w:szCs w:val="20"/>
                <w:lang w:eastAsia="en-US"/>
              </w:rPr>
              <w:t>,</w:t>
            </w:r>
            <w:r w:rsidR="00C5587E">
              <w:rPr>
                <w:rFonts w:cs="Tahoma"/>
                <w:bCs/>
                <w:szCs w:val="20"/>
                <w:lang w:eastAsia="en-US"/>
              </w:rPr>
              <w:t xml:space="preserve"> explaining what biomethane producers needed to do and why.</w:t>
            </w:r>
          </w:p>
          <w:p w14:paraId="32E2CA6C" w14:textId="5A259C4F" w:rsidR="00C5587E" w:rsidRDefault="00C5587E" w:rsidP="003D47A2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RB offered to lead this piece of wor</w:t>
            </w:r>
            <w:r w:rsidR="003C2364">
              <w:rPr>
                <w:rFonts w:cs="Tahoma"/>
                <w:bCs/>
                <w:szCs w:val="20"/>
                <w:lang w:eastAsia="en-US"/>
              </w:rPr>
              <w:t>k, with backing from the GDNs and DFOs.</w:t>
            </w:r>
          </w:p>
          <w:p w14:paraId="0CBC0E02" w14:textId="52FCA263" w:rsidR="003C2364" w:rsidRDefault="003C2364" w:rsidP="003D47A2">
            <w:pPr>
              <w:rPr>
                <w:rFonts w:cs="Tahoma"/>
                <w:b/>
                <w:szCs w:val="20"/>
                <w:lang w:eastAsia="en-US"/>
              </w:rPr>
            </w:pPr>
            <w:r w:rsidRPr="007B6848">
              <w:rPr>
                <w:rFonts w:cs="Tahoma"/>
                <w:b/>
                <w:szCs w:val="20"/>
                <w:lang w:eastAsia="en-US"/>
              </w:rPr>
              <w:t>Action: JM to provide RB</w:t>
            </w:r>
            <w:r w:rsidR="001823E1" w:rsidRPr="007B6848">
              <w:rPr>
                <w:rFonts w:cs="Tahoma"/>
                <w:b/>
                <w:szCs w:val="20"/>
                <w:lang w:eastAsia="en-US"/>
              </w:rPr>
              <w:t xml:space="preserve"> with some </w:t>
            </w:r>
            <w:r w:rsidR="007B6848" w:rsidRPr="007B6848">
              <w:rPr>
                <w:rFonts w:cs="Tahoma"/>
                <w:b/>
                <w:szCs w:val="20"/>
                <w:lang w:eastAsia="en-US"/>
              </w:rPr>
              <w:t>anonymised SGS issues and high-level</w:t>
            </w:r>
            <w:r w:rsidR="001823E1" w:rsidRPr="007B6848">
              <w:rPr>
                <w:rFonts w:cs="Tahoma"/>
                <w:b/>
                <w:szCs w:val="20"/>
                <w:lang w:eastAsia="en-US"/>
              </w:rPr>
              <w:t xml:space="preserve"> bullet points of what is required re: training programmes to address letter of approval deviations</w:t>
            </w:r>
            <w:r w:rsidR="007B6848" w:rsidRPr="007B6848">
              <w:rPr>
                <w:rFonts w:cs="Tahoma"/>
                <w:b/>
                <w:szCs w:val="20"/>
                <w:lang w:eastAsia="en-US"/>
              </w:rPr>
              <w:t>.</w:t>
            </w:r>
          </w:p>
          <w:p w14:paraId="5D2B1154" w14:textId="77777777" w:rsidR="0026201E" w:rsidRPr="007B6848" w:rsidRDefault="0026201E" w:rsidP="003D47A2">
            <w:pPr>
              <w:rPr>
                <w:rFonts w:cs="Tahoma"/>
                <w:b/>
                <w:szCs w:val="20"/>
                <w:lang w:eastAsia="en-US"/>
              </w:rPr>
            </w:pPr>
          </w:p>
          <w:p w14:paraId="731CAABB" w14:textId="3A2E97CA" w:rsidR="003D47A2" w:rsidRPr="00682146" w:rsidRDefault="00A2744D" w:rsidP="003D47A2">
            <w:pPr>
              <w:pStyle w:val="ListParagraph"/>
              <w:numPr>
                <w:ilvl w:val="0"/>
                <w:numId w:val="12"/>
              </w:numPr>
              <w:rPr>
                <w:rFonts w:cs="Tahoma"/>
                <w:bCs/>
                <w:szCs w:val="20"/>
                <w:u w:val="single"/>
                <w:lang w:eastAsia="en-US"/>
              </w:rPr>
            </w:pPr>
            <w:r w:rsidRPr="00682146">
              <w:rPr>
                <w:rFonts w:cs="Tahoma"/>
                <w:bCs/>
                <w:szCs w:val="20"/>
                <w:u w:val="single"/>
                <w:lang w:eastAsia="en-US"/>
              </w:rPr>
              <w:t>Standardisation – ME2</w:t>
            </w:r>
          </w:p>
          <w:p w14:paraId="79370BB0" w14:textId="2E5D5EA9" w:rsidR="00D24987" w:rsidRDefault="001E37F0" w:rsidP="003D47A2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BH update</w:t>
            </w:r>
            <w:r w:rsidR="007B6848">
              <w:rPr>
                <w:rFonts w:cs="Tahoma"/>
                <w:bCs/>
                <w:szCs w:val="20"/>
                <w:lang w:eastAsia="en-US"/>
              </w:rPr>
              <w:t xml:space="preserve">d </w:t>
            </w:r>
            <w:r w:rsidR="00B74764">
              <w:rPr>
                <w:rFonts w:cs="Tahoma"/>
                <w:bCs/>
                <w:szCs w:val="20"/>
                <w:lang w:eastAsia="en-US"/>
              </w:rPr>
              <w:t xml:space="preserve">that </w:t>
            </w:r>
            <w:r w:rsidR="00005885">
              <w:rPr>
                <w:rFonts w:cs="Tahoma"/>
                <w:bCs/>
                <w:szCs w:val="20"/>
                <w:lang w:eastAsia="en-US"/>
              </w:rPr>
              <w:t xml:space="preserve">GDN </w:t>
            </w:r>
            <w:r w:rsidR="00B74764">
              <w:rPr>
                <w:rFonts w:cs="Tahoma"/>
                <w:bCs/>
                <w:szCs w:val="20"/>
                <w:lang w:eastAsia="en-US"/>
              </w:rPr>
              <w:t>comments had been collated</w:t>
            </w:r>
            <w:r w:rsidR="009C0BCD">
              <w:rPr>
                <w:rFonts w:cs="Tahoma"/>
                <w:bCs/>
                <w:szCs w:val="20"/>
                <w:lang w:eastAsia="en-US"/>
              </w:rPr>
              <w:t xml:space="preserve"> and </w:t>
            </w:r>
            <w:r w:rsidR="00B74764">
              <w:rPr>
                <w:rFonts w:cs="Tahoma"/>
                <w:bCs/>
                <w:szCs w:val="20"/>
                <w:lang w:eastAsia="en-US"/>
              </w:rPr>
              <w:t xml:space="preserve">the </w:t>
            </w:r>
            <w:r>
              <w:rPr>
                <w:rFonts w:cs="Tahoma"/>
                <w:bCs/>
                <w:szCs w:val="20"/>
                <w:lang w:eastAsia="en-US"/>
              </w:rPr>
              <w:t xml:space="preserve">scope </w:t>
            </w:r>
            <w:r w:rsidR="00B74764">
              <w:rPr>
                <w:rFonts w:cs="Tahoma"/>
                <w:bCs/>
                <w:szCs w:val="20"/>
                <w:lang w:eastAsia="en-US"/>
              </w:rPr>
              <w:t>set</w:t>
            </w:r>
            <w:r w:rsidR="009C0BCD">
              <w:rPr>
                <w:rFonts w:cs="Tahoma"/>
                <w:bCs/>
                <w:szCs w:val="20"/>
                <w:lang w:eastAsia="en-US"/>
              </w:rPr>
              <w:t xml:space="preserve">. </w:t>
            </w:r>
            <w:r w:rsidR="00B74764">
              <w:rPr>
                <w:rFonts w:cs="Tahoma"/>
                <w:bCs/>
                <w:szCs w:val="20"/>
                <w:lang w:eastAsia="en-US"/>
              </w:rPr>
              <w:t xml:space="preserve">NGN were </w:t>
            </w:r>
            <w:r w:rsidR="00E47F5A">
              <w:rPr>
                <w:rFonts w:cs="Tahoma"/>
                <w:bCs/>
                <w:szCs w:val="20"/>
                <w:lang w:eastAsia="en-US"/>
              </w:rPr>
              <w:t>waiting for prices</w:t>
            </w:r>
            <w:r w:rsidR="00005885">
              <w:rPr>
                <w:rFonts w:cs="Tahoma"/>
                <w:bCs/>
                <w:szCs w:val="20"/>
                <w:lang w:eastAsia="en-US"/>
              </w:rPr>
              <w:t xml:space="preserve"> back</w:t>
            </w:r>
            <w:r w:rsidR="009C0BCD">
              <w:rPr>
                <w:rFonts w:cs="Tahoma"/>
                <w:bCs/>
                <w:szCs w:val="20"/>
                <w:lang w:eastAsia="en-US"/>
              </w:rPr>
              <w:t xml:space="preserve">, at which point there </w:t>
            </w:r>
            <w:r w:rsidR="00005885">
              <w:rPr>
                <w:rFonts w:cs="Tahoma"/>
                <w:bCs/>
                <w:szCs w:val="20"/>
                <w:lang w:eastAsia="en-US"/>
              </w:rPr>
              <w:t>would</w:t>
            </w:r>
            <w:r w:rsidR="009C0BCD">
              <w:rPr>
                <w:rFonts w:cs="Tahoma"/>
                <w:bCs/>
                <w:szCs w:val="20"/>
                <w:lang w:eastAsia="en-US"/>
              </w:rPr>
              <w:t xml:space="preserve"> be a</w:t>
            </w:r>
            <w:r w:rsidR="00E47F5A">
              <w:rPr>
                <w:rFonts w:cs="Tahoma"/>
                <w:bCs/>
                <w:szCs w:val="20"/>
                <w:lang w:eastAsia="en-US"/>
              </w:rPr>
              <w:t xml:space="preserve"> working group meeting to select the vendor</w:t>
            </w:r>
            <w:r w:rsidR="00D24987">
              <w:rPr>
                <w:rFonts w:cs="Tahoma"/>
                <w:bCs/>
                <w:szCs w:val="20"/>
                <w:lang w:eastAsia="en-US"/>
              </w:rPr>
              <w:t xml:space="preserve"> (with</w:t>
            </w:r>
            <w:r w:rsidR="00E47F5A">
              <w:rPr>
                <w:rFonts w:cs="Tahoma"/>
                <w:bCs/>
                <w:szCs w:val="20"/>
                <w:lang w:eastAsia="en-US"/>
              </w:rPr>
              <w:t>in the next month or so</w:t>
            </w:r>
            <w:r w:rsidR="00D24987">
              <w:rPr>
                <w:rFonts w:cs="Tahoma"/>
                <w:bCs/>
                <w:szCs w:val="20"/>
                <w:lang w:eastAsia="en-US"/>
              </w:rPr>
              <w:t>).</w:t>
            </w:r>
          </w:p>
          <w:p w14:paraId="55B6292E" w14:textId="77777777" w:rsidR="003B7C1D" w:rsidRDefault="00D24987" w:rsidP="003B7C1D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JM clarified that this ite</w:t>
            </w:r>
            <w:r w:rsidR="004C47C6">
              <w:rPr>
                <w:rFonts w:cs="Tahoma"/>
                <w:bCs/>
                <w:szCs w:val="20"/>
                <w:lang w:eastAsia="en-US"/>
              </w:rPr>
              <w:t xml:space="preserve">m </w:t>
            </w:r>
            <w:r w:rsidR="000B1BE8">
              <w:rPr>
                <w:rFonts w:cs="Tahoma"/>
                <w:bCs/>
                <w:szCs w:val="20"/>
                <w:lang w:eastAsia="en-US"/>
              </w:rPr>
              <w:t xml:space="preserve">sought to take ME2 out of the OAD, wherein it may sit under IGEM, GIS or Joint Office </w:t>
            </w:r>
            <w:r w:rsidR="003B7C1D">
              <w:rPr>
                <w:rFonts w:cs="Tahoma"/>
                <w:bCs/>
                <w:szCs w:val="20"/>
                <w:lang w:eastAsia="en-US"/>
              </w:rPr>
              <w:t xml:space="preserve">governance, but that this would </w:t>
            </w:r>
            <w:r w:rsidR="003B7C1D" w:rsidRPr="00005885">
              <w:rPr>
                <w:rFonts w:cs="Tahoma"/>
                <w:bCs/>
                <w:i/>
                <w:iCs/>
                <w:szCs w:val="20"/>
                <w:lang w:eastAsia="en-US"/>
              </w:rPr>
              <w:t>not</w:t>
            </w:r>
            <w:r w:rsidR="003B7C1D">
              <w:rPr>
                <w:rFonts w:cs="Tahoma"/>
                <w:bCs/>
                <w:szCs w:val="20"/>
                <w:lang w:eastAsia="en-US"/>
              </w:rPr>
              <w:t xml:space="preserve"> require any change to the UNC (and hence no Mod).</w:t>
            </w:r>
          </w:p>
          <w:p w14:paraId="5F40B098" w14:textId="77777777" w:rsidR="0026201E" w:rsidRDefault="0026201E" w:rsidP="003B7C1D">
            <w:pPr>
              <w:rPr>
                <w:rFonts w:cs="Tahoma"/>
                <w:bCs/>
                <w:szCs w:val="20"/>
                <w:lang w:eastAsia="en-US"/>
              </w:rPr>
            </w:pPr>
          </w:p>
          <w:p w14:paraId="0783C2BB" w14:textId="0D755FF0" w:rsidR="00A2744D" w:rsidRPr="003B7C1D" w:rsidRDefault="003D47A2" w:rsidP="003B7C1D">
            <w:pPr>
              <w:pStyle w:val="ListParagraph"/>
              <w:numPr>
                <w:ilvl w:val="0"/>
                <w:numId w:val="12"/>
              </w:numPr>
              <w:rPr>
                <w:rFonts w:cs="Tahoma"/>
                <w:bCs/>
                <w:szCs w:val="20"/>
                <w:lang w:eastAsia="en-US"/>
              </w:rPr>
            </w:pPr>
            <w:r w:rsidRPr="003B7C1D">
              <w:rPr>
                <w:rFonts w:cs="Tahoma"/>
                <w:bCs/>
                <w:szCs w:val="20"/>
                <w:u w:val="single"/>
                <w:lang w:eastAsia="en-US"/>
              </w:rPr>
              <w:t>Operator Competence Accreditation</w:t>
            </w:r>
          </w:p>
          <w:p w14:paraId="44026203" w14:textId="594B5986" w:rsidR="003D47A2" w:rsidRDefault="00744E71" w:rsidP="003D47A2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TH outlined that this item was still on hold. CM expressed ADBA’s interest in involvement herein.</w:t>
            </w:r>
          </w:p>
          <w:p w14:paraId="1F7DBD25" w14:textId="77777777" w:rsidR="0026201E" w:rsidRPr="003D47A2" w:rsidRDefault="0026201E" w:rsidP="003D47A2">
            <w:pPr>
              <w:rPr>
                <w:rFonts w:cs="Tahoma"/>
                <w:bCs/>
                <w:szCs w:val="20"/>
                <w:lang w:eastAsia="en-US"/>
              </w:rPr>
            </w:pPr>
          </w:p>
          <w:p w14:paraId="551B989B" w14:textId="77777777" w:rsidR="003D47A2" w:rsidRPr="00682146" w:rsidRDefault="003D47A2" w:rsidP="00A2744D">
            <w:pPr>
              <w:pStyle w:val="ListParagraph"/>
              <w:numPr>
                <w:ilvl w:val="0"/>
                <w:numId w:val="12"/>
              </w:numPr>
              <w:rPr>
                <w:rFonts w:cs="Tahoma"/>
                <w:bCs/>
                <w:szCs w:val="20"/>
                <w:u w:val="single"/>
                <w:lang w:eastAsia="en-US"/>
              </w:rPr>
            </w:pPr>
            <w:r w:rsidRPr="00682146">
              <w:rPr>
                <w:rFonts w:cs="Tahoma"/>
                <w:bCs/>
                <w:szCs w:val="20"/>
                <w:u w:val="single"/>
                <w:lang w:eastAsia="en-US"/>
              </w:rPr>
              <w:t>Standardisation – Review of Capacity Studies</w:t>
            </w:r>
          </w:p>
          <w:p w14:paraId="76721806" w14:textId="551A83AD" w:rsidR="006B1EC3" w:rsidRDefault="0026201E" w:rsidP="003D47A2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Covered in the review of the action log.</w:t>
            </w:r>
          </w:p>
          <w:p w14:paraId="5A4304F4" w14:textId="77777777" w:rsidR="0026201E" w:rsidRPr="003D47A2" w:rsidRDefault="0026201E" w:rsidP="003D47A2">
            <w:pPr>
              <w:rPr>
                <w:rFonts w:cs="Tahoma"/>
                <w:bCs/>
                <w:szCs w:val="20"/>
                <w:lang w:eastAsia="en-US"/>
              </w:rPr>
            </w:pPr>
          </w:p>
          <w:p w14:paraId="54D55220" w14:textId="77777777" w:rsidR="003D47A2" w:rsidRPr="00682146" w:rsidRDefault="003D47A2" w:rsidP="00A2744D">
            <w:pPr>
              <w:pStyle w:val="ListParagraph"/>
              <w:numPr>
                <w:ilvl w:val="0"/>
                <w:numId w:val="12"/>
              </w:numPr>
              <w:rPr>
                <w:rFonts w:cs="Tahoma"/>
                <w:bCs/>
                <w:szCs w:val="20"/>
                <w:u w:val="single"/>
                <w:lang w:eastAsia="en-US"/>
              </w:rPr>
            </w:pPr>
            <w:r w:rsidRPr="00682146">
              <w:rPr>
                <w:rFonts w:cs="Tahoma"/>
                <w:bCs/>
                <w:szCs w:val="20"/>
                <w:u w:val="single"/>
                <w:lang w:eastAsia="en-US"/>
              </w:rPr>
              <w:t>In-Grid Compression</w:t>
            </w:r>
          </w:p>
          <w:p w14:paraId="3020CEAD" w14:textId="46E6F00C" w:rsidR="000F2C7A" w:rsidRDefault="000F2C7A" w:rsidP="003D47A2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Technical specifications</w:t>
            </w:r>
            <w:r w:rsidR="00381BE9">
              <w:rPr>
                <w:rFonts w:cs="Tahoma"/>
                <w:bCs/>
                <w:szCs w:val="20"/>
                <w:lang w:eastAsia="en-US"/>
              </w:rPr>
              <w:t xml:space="preserve"> were</w:t>
            </w:r>
            <w:r>
              <w:rPr>
                <w:rFonts w:cs="Tahoma"/>
                <w:bCs/>
                <w:szCs w:val="20"/>
                <w:lang w:eastAsia="en-US"/>
              </w:rPr>
              <w:t xml:space="preserve"> covered in the review of the action log (due April 10th) from RC.</w:t>
            </w:r>
          </w:p>
          <w:p w14:paraId="1587E027" w14:textId="71CCDCE5" w:rsidR="001D3649" w:rsidRDefault="0003264A" w:rsidP="001D3649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JM reported that JB was separately progressing UNC Mod 808 to address the commercial/regulatory angle</w:t>
            </w:r>
            <w:r w:rsidR="001F1424">
              <w:rPr>
                <w:rFonts w:cs="Tahoma"/>
                <w:bCs/>
                <w:szCs w:val="20"/>
                <w:lang w:eastAsia="en-US"/>
              </w:rPr>
              <w:t xml:space="preserve"> from the perspective of IGTs; RH outlined that this was going smoothly</w:t>
            </w:r>
            <w:r w:rsidR="00005885">
              <w:rPr>
                <w:rFonts w:cs="Tahoma"/>
                <w:bCs/>
                <w:szCs w:val="20"/>
                <w:lang w:eastAsia="en-US"/>
              </w:rPr>
              <w:t xml:space="preserve">; </w:t>
            </w:r>
            <w:r w:rsidR="001E3365">
              <w:rPr>
                <w:rFonts w:cs="Tahoma"/>
                <w:bCs/>
                <w:szCs w:val="20"/>
                <w:lang w:eastAsia="en-US"/>
              </w:rPr>
              <w:t>the Mod would be sent out to consultation soon, and legal text would be on the way shortly.</w:t>
            </w:r>
          </w:p>
          <w:p w14:paraId="65512A86" w14:textId="0145F7AA" w:rsidR="009F4F32" w:rsidRDefault="00D44043" w:rsidP="00D44043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 xml:space="preserve">From a GDN perspective, MJ and JM agreed that more work was needed </w:t>
            </w:r>
            <w:r w:rsidR="003E1EE2">
              <w:rPr>
                <w:rFonts w:cs="Tahoma"/>
                <w:bCs/>
                <w:szCs w:val="20"/>
                <w:lang w:eastAsia="en-US"/>
              </w:rPr>
              <w:t xml:space="preserve">to assess the commercial </w:t>
            </w:r>
            <w:r w:rsidR="00974A82">
              <w:rPr>
                <w:rFonts w:cs="Tahoma"/>
                <w:bCs/>
                <w:szCs w:val="20"/>
                <w:lang w:eastAsia="en-US"/>
              </w:rPr>
              <w:t xml:space="preserve">and regulatory </w:t>
            </w:r>
            <w:r w:rsidR="003E1EE2">
              <w:rPr>
                <w:rFonts w:cs="Tahoma"/>
                <w:bCs/>
                <w:szCs w:val="20"/>
                <w:lang w:eastAsia="en-US"/>
              </w:rPr>
              <w:t>aspects, as well as feasibility (i.e., the extent to which reverse compression would relieve capacity constraints)</w:t>
            </w:r>
            <w:r w:rsidR="00974A82">
              <w:rPr>
                <w:rFonts w:cs="Tahoma"/>
                <w:bCs/>
                <w:szCs w:val="20"/>
                <w:lang w:eastAsia="en-US"/>
              </w:rPr>
              <w:t>.</w:t>
            </w:r>
            <w:r w:rsidR="003E1EE2">
              <w:rPr>
                <w:rFonts w:cs="Tahoma"/>
                <w:bCs/>
                <w:szCs w:val="20"/>
                <w:lang w:eastAsia="en-US"/>
              </w:rPr>
              <w:t xml:space="preserve"> </w:t>
            </w:r>
            <w:r w:rsidR="001D3649">
              <w:rPr>
                <w:rFonts w:cs="Tahoma"/>
                <w:bCs/>
                <w:szCs w:val="20"/>
                <w:lang w:eastAsia="en-US"/>
              </w:rPr>
              <w:t xml:space="preserve">EB added that a Cadent tool was in development to outline scope for the GDNs, </w:t>
            </w:r>
            <w:r>
              <w:rPr>
                <w:rFonts w:cs="Tahoma"/>
                <w:bCs/>
                <w:szCs w:val="20"/>
                <w:lang w:eastAsia="en-US"/>
              </w:rPr>
              <w:t xml:space="preserve">highlighting </w:t>
            </w:r>
            <w:r w:rsidR="001D3649">
              <w:rPr>
                <w:rFonts w:cs="Tahoma"/>
                <w:bCs/>
                <w:szCs w:val="20"/>
                <w:lang w:eastAsia="en-US"/>
              </w:rPr>
              <w:t>e.g., how many compressors would be needed over the course of a day.</w:t>
            </w:r>
            <w:r>
              <w:rPr>
                <w:rFonts w:cs="Tahoma"/>
                <w:bCs/>
                <w:szCs w:val="20"/>
                <w:lang w:eastAsia="en-US"/>
              </w:rPr>
              <w:t xml:space="preserve"> </w:t>
            </w:r>
          </w:p>
          <w:p w14:paraId="256EAC40" w14:textId="77777777" w:rsidR="00381BE9" w:rsidRDefault="00381BE9" w:rsidP="00D44043">
            <w:pPr>
              <w:rPr>
                <w:rFonts w:cs="Tahoma"/>
                <w:bCs/>
                <w:szCs w:val="20"/>
                <w:lang w:eastAsia="en-US"/>
              </w:rPr>
            </w:pPr>
          </w:p>
          <w:p w14:paraId="50BBA869" w14:textId="77777777" w:rsidR="003D47A2" w:rsidRPr="00682146" w:rsidRDefault="003D47A2" w:rsidP="00A2744D">
            <w:pPr>
              <w:pStyle w:val="ListParagraph"/>
              <w:numPr>
                <w:ilvl w:val="0"/>
                <w:numId w:val="12"/>
              </w:numPr>
              <w:rPr>
                <w:rFonts w:cs="Tahoma"/>
                <w:bCs/>
                <w:szCs w:val="20"/>
                <w:u w:val="single"/>
                <w:lang w:eastAsia="en-US"/>
              </w:rPr>
            </w:pPr>
            <w:r w:rsidRPr="00682146">
              <w:rPr>
                <w:rFonts w:cs="Tahoma"/>
                <w:bCs/>
                <w:szCs w:val="20"/>
                <w:u w:val="single"/>
                <w:lang w:eastAsia="en-US"/>
              </w:rPr>
              <w:t>Capacity/Low Flow through NTS Meter</w:t>
            </w:r>
          </w:p>
          <w:p w14:paraId="11BC7261" w14:textId="77777777" w:rsidR="007E65C0" w:rsidRDefault="00426C96" w:rsidP="003D47A2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 xml:space="preserve">AC </w:t>
            </w:r>
            <w:r w:rsidR="007617B7">
              <w:rPr>
                <w:rFonts w:cs="Tahoma"/>
                <w:bCs/>
                <w:szCs w:val="20"/>
                <w:lang w:eastAsia="en-US"/>
              </w:rPr>
              <w:t>recapped that this item related to c</w:t>
            </w:r>
            <w:r>
              <w:rPr>
                <w:rFonts w:cs="Tahoma"/>
                <w:bCs/>
                <w:szCs w:val="20"/>
                <w:lang w:eastAsia="en-US"/>
              </w:rPr>
              <w:t>ertain limits on flow through the NTS, giv</w:t>
            </w:r>
            <w:r w:rsidR="007617B7">
              <w:rPr>
                <w:rFonts w:cs="Tahoma"/>
                <w:bCs/>
                <w:szCs w:val="20"/>
                <w:lang w:eastAsia="en-US"/>
              </w:rPr>
              <w:t>ing</w:t>
            </w:r>
            <w:r>
              <w:rPr>
                <w:rFonts w:cs="Tahoma"/>
                <w:bCs/>
                <w:szCs w:val="20"/>
                <w:lang w:eastAsia="en-US"/>
              </w:rPr>
              <w:t xml:space="preserve"> capacity constraints</w:t>
            </w:r>
            <w:r w:rsidR="009C0E11">
              <w:rPr>
                <w:rFonts w:cs="Tahoma"/>
                <w:bCs/>
                <w:szCs w:val="20"/>
                <w:lang w:eastAsia="en-US"/>
              </w:rPr>
              <w:t xml:space="preserve">. </w:t>
            </w:r>
            <w:r w:rsidR="00AD467E">
              <w:rPr>
                <w:rFonts w:cs="Tahoma"/>
                <w:bCs/>
                <w:szCs w:val="20"/>
                <w:lang w:eastAsia="en-US"/>
              </w:rPr>
              <w:t>It</w:t>
            </w:r>
            <w:r w:rsidR="009C0E11">
              <w:rPr>
                <w:rFonts w:cs="Tahoma"/>
                <w:bCs/>
                <w:szCs w:val="20"/>
                <w:lang w:eastAsia="en-US"/>
              </w:rPr>
              <w:t xml:space="preserve"> was recognised that some meters were/would be seeing this as industry turns off/moves to hydrogen</w:t>
            </w:r>
            <w:r w:rsidR="00AD467E">
              <w:rPr>
                <w:rFonts w:cs="Tahoma"/>
                <w:bCs/>
                <w:szCs w:val="20"/>
                <w:lang w:eastAsia="en-US"/>
              </w:rPr>
              <w:t xml:space="preserve">, and so the group sought to understand </w:t>
            </w:r>
            <w:r w:rsidR="007E65C0">
              <w:rPr>
                <w:rFonts w:cs="Tahoma"/>
                <w:bCs/>
                <w:szCs w:val="20"/>
                <w:lang w:eastAsia="en-US"/>
              </w:rPr>
              <w:t>if anything else could be done to alleviate this issue.</w:t>
            </w:r>
          </w:p>
          <w:p w14:paraId="340BC518" w14:textId="54DE51A4" w:rsidR="00426C96" w:rsidRDefault="00426C96" w:rsidP="003D47A2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lastRenderedPageBreak/>
              <w:t xml:space="preserve">JM </w:t>
            </w:r>
            <w:r w:rsidR="007E65C0">
              <w:rPr>
                <w:rFonts w:cs="Tahoma"/>
                <w:bCs/>
                <w:szCs w:val="20"/>
                <w:lang w:eastAsia="en-US"/>
              </w:rPr>
              <w:t xml:space="preserve">outlined that </w:t>
            </w:r>
            <w:r w:rsidR="00CA21D7">
              <w:rPr>
                <w:rFonts w:cs="Tahoma"/>
                <w:bCs/>
                <w:szCs w:val="20"/>
                <w:lang w:eastAsia="en-US"/>
              </w:rPr>
              <w:t xml:space="preserve">(TH: only in some cases) </w:t>
            </w:r>
            <w:r w:rsidR="007E65C0">
              <w:rPr>
                <w:rFonts w:cs="Tahoma"/>
                <w:bCs/>
                <w:szCs w:val="20"/>
                <w:lang w:eastAsia="en-US"/>
              </w:rPr>
              <w:t>upgrading</w:t>
            </w:r>
            <w:r>
              <w:rPr>
                <w:rFonts w:cs="Tahoma"/>
                <w:bCs/>
                <w:szCs w:val="20"/>
                <w:lang w:eastAsia="en-US"/>
              </w:rPr>
              <w:t xml:space="preserve"> </w:t>
            </w:r>
            <w:r w:rsidR="007E65C0">
              <w:rPr>
                <w:rFonts w:cs="Tahoma"/>
                <w:bCs/>
                <w:szCs w:val="20"/>
                <w:lang w:eastAsia="en-US"/>
              </w:rPr>
              <w:t xml:space="preserve">from orifice plate meters </w:t>
            </w:r>
            <w:r w:rsidR="001D6E0B">
              <w:rPr>
                <w:rFonts w:cs="Tahoma"/>
                <w:bCs/>
                <w:szCs w:val="20"/>
                <w:lang w:eastAsia="en-US"/>
              </w:rPr>
              <w:t xml:space="preserve">to </w:t>
            </w:r>
            <w:r>
              <w:rPr>
                <w:rFonts w:cs="Tahoma"/>
                <w:bCs/>
                <w:szCs w:val="20"/>
                <w:lang w:eastAsia="en-US"/>
              </w:rPr>
              <w:t>USMs</w:t>
            </w:r>
            <w:r w:rsidR="007E65C0">
              <w:rPr>
                <w:rFonts w:cs="Tahoma"/>
                <w:bCs/>
                <w:szCs w:val="20"/>
                <w:lang w:eastAsia="en-US"/>
              </w:rPr>
              <w:t xml:space="preserve"> would </w:t>
            </w:r>
            <w:r w:rsidR="00CA21D7">
              <w:rPr>
                <w:rFonts w:cs="Tahoma"/>
                <w:bCs/>
                <w:szCs w:val="20"/>
                <w:lang w:eastAsia="en-US"/>
              </w:rPr>
              <w:t>be a solution.</w:t>
            </w:r>
          </w:p>
          <w:p w14:paraId="1B74D756" w14:textId="048B9EF6" w:rsidR="006317D7" w:rsidRDefault="006317D7" w:rsidP="006317D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 xml:space="preserve">SR </w:t>
            </w:r>
            <w:r w:rsidR="00404A81">
              <w:rPr>
                <w:rFonts w:cs="Tahoma"/>
                <w:bCs/>
                <w:szCs w:val="20"/>
                <w:lang w:eastAsia="en-US"/>
              </w:rPr>
              <w:t>expressed keenness in hearing the</w:t>
            </w:r>
            <w:r w:rsidR="00A34DD8">
              <w:rPr>
                <w:rFonts w:cs="Tahoma"/>
                <w:bCs/>
                <w:szCs w:val="20"/>
                <w:lang w:eastAsia="en-US"/>
              </w:rPr>
              <w:t>se</w:t>
            </w:r>
            <w:r w:rsidR="00404A81">
              <w:rPr>
                <w:rFonts w:cs="Tahoma"/>
                <w:bCs/>
                <w:szCs w:val="20"/>
                <w:lang w:eastAsia="en-US"/>
              </w:rPr>
              <w:t xml:space="preserve"> considerations, as many</w:t>
            </w:r>
            <w:r>
              <w:rPr>
                <w:rFonts w:cs="Tahoma"/>
                <w:bCs/>
                <w:szCs w:val="20"/>
                <w:lang w:eastAsia="en-US"/>
              </w:rPr>
              <w:t xml:space="preserve"> of the individual distribution networks in Northern Ireland were </w:t>
            </w:r>
            <w:r w:rsidR="00404A81">
              <w:rPr>
                <w:rFonts w:cs="Tahoma"/>
                <w:bCs/>
                <w:szCs w:val="20"/>
                <w:lang w:eastAsia="en-US"/>
              </w:rPr>
              <w:t>hitting</w:t>
            </w:r>
            <w:r>
              <w:rPr>
                <w:rFonts w:cs="Tahoma"/>
                <w:bCs/>
                <w:szCs w:val="20"/>
                <w:lang w:eastAsia="en-US"/>
              </w:rPr>
              <w:t xml:space="preserve"> minimum flows</w:t>
            </w:r>
            <w:r w:rsidR="00404A81">
              <w:rPr>
                <w:rFonts w:cs="Tahoma"/>
                <w:bCs/>
                <w:szCs w:val="20"/>
                <w:lang w:eastAsia="en-US"/>
              </w:rPr>
              <w:t>.</w:t>
            </w:r>
          </w:p>
          <w:p w14:paraId="05F27CD8" w14:textId="59FB92C7" w:rsidR="0048681D" w:rsidRDefault="00E22BE0" w:rsidP="00A34DD8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 xml:space="preserve">RH clarified that JB had asked </w:t>
            </w:r>
            <w:r w:rsidR="00C6064C">
              <w:rPr>
                <w:rFonts w:cs="Tahoma"/>
                <w:bCs/>
                <w:szCs w:val="20"/>
                <w:lang w:eastAsia="en-US"/>
              </w:rPr>
              <w:t>for this topic to be discussed at Distribution Work Group</w:t>
            </w:r>
            <w:r w:rsidR="006317D7">
              <w:rPr>
                <w:rFonts w:cs="Tahoma"/>
                <w:bCs/>
                <w:szCs w:val="20"/>
                <w:lang w:eastAsia="en-US"/>
              </w:rPr>
              <w:t>, but that there was no UNC Mod on this subject</w:t>
            </w:r>
            <w:r w:rsidR="00A34DD8">
              <w:rPr>
                <w:rFonts w:cs="Tahoma"/>
                <w:bCs/>
                <w:szCs w:val="20"/>
                <w:lang w:eastAsia="en-US"/>
              </w:rPr>
              <w:t>; the group recalled that JB had sent a letter to Steve Brown</w:t>
            </w:r>
            <w:r w:rsidR="001D0ACA">
              <w:rPr>
                <w:rFonts w:cs="Tahoma"/>
                <w:bCs/>
                <w:szCs w:val="20"/>
                <w:lang w:eastAsia="en-US"/>
              </w:rPr>
              <w:t xml:space="preserve"> (Ofgem) on the </w:t>
            </w:r>
            <w:proofErr w:type="gramStart"/>
            <w:r w:rsidR="001D0ACA">
              <w:rPr>
                <w:rFonts w:cs="Tahoma"/>
                <w:bCs/>
                <w:szCs w:val="20"/>
                <w:lang w:eastAsia="en-US"/>
              </w:rPr>
              <w:t>subject, but</w:t>
            </w:r>
            <w:proofErr w:type="gramEnd"/>
            <w:r w:rsidR="001D0ACA">
              <w:rPr>
                <w:rFonts w:cs="Tahoma"/>
                <w:bCs/>
                <w:szCs w:val="20"/>
                <w:lang w:eastAsia="en-US"/>
              </w:rPr>
              <w:t xml:space="preserve"> </w:t>
            </w:r>
            <w:r w:rsidR="00005885">
              <w:rPr>
                <w:rFonts w:cs="Tahoma"/>
                <w:bCs/>
                <w:szCs w:val="20"/>
                <w:lang w:eastAsia="en-US"/>
              </w:rPr>
              <w:t xml:space="preserve">noted </w:t>
            </w:r>
            <w:r w:rsidR="001D0ACA">
              <w:rPr>
                <w:rFonts w:cs="Tahoma"/>
                <w:bCs/>
                <w:szCs w:val="20"/>
                <w:lang w:eastAsia="en-US"/>
              </w:rPr>
              <w:t>that he was awaiting response.</w:t>
            </w:r>
          </w:p>
          <w:p w14:paraId="104DF604" w14:textId="12C28067" w:rsidR="004F6385" w:rsidRDefault="00B71AD8" w:rsidP="003D47A2">
            <w:pPr>
              <w:rPr>
                <w:rFonts w:cs="Tahoma"/>
                <w:b/>
                <w:szCs w:val="20"/>
                <w:lang w:eastAsia="en-US"/>
              </w:rPr>
            </w:pPr>
            <w:r w:rsidRPr="00B71AD8">
              <w:rPr>
                <w:rFonts w:cs="Tahoma"/>
                <w:bCs/>
                <w:szCs w:val="20"/>
                <w:lang w:eastAsia="en-US"/>
              </w:rPr>
              <w:t>Letter available here:</w:t>
            </w:r>
            <w:r>
              <w:rPr>
                <w:rFonts w:cs="Tahoma"/>
                <w:b/>
                <w:szCs w:val="20"/>
                <w:lang w:eastAsia="en-US"/>
              </w:rPr>
              <w:t xml:space="preserve"> </w:t>
            </w:r>
            <w:hyperlink r:id="rId12" w:anchor="/110529323" w:history="1">
              <w:r>
                <w:rPr>
                  <w:rStyle w:val="Hyperlink"/>
                </w:rPr>
                <w:t>NTS Exit Metering to LDZs and biomethane (huddle.net)</w:t>
              </w:r>
            </w:hyperlink>
          </w:p>
          <w:p w14:paraId="16ABA256" w14:textId="77777777" w:rsidR="001D0ACA" w:rsidRPr="001D0ACA" w:rsidRDefault="001D0ACA" w:rsidP="003D47A2">
            <w:pPr>
              <w:rPr>
                <w:rFonts w:cs="Tahoma"/>
                <w:b/>
                <w:szCs w:val="20"/>
                <w:lang w:eastAsia="en-US"/>
              </w:rPr>
            </w:pPr>
          </w:p>
          <w:p w14:paraId="522CCD79" w14:textId="77777777" w:rsidR="003D47A2" w:rsidRPr="00682146" w:rsidRDefault="003D47A2" w:rsidP="00A2744D">
            <w:pPr>
              <w:pStyle w:val="ListParagraph"/>
              <w:numPr>
                <w:ilvl w:val="0"/>
                <w:numId w:val="12"/>
              </w:numPr>
              <w:rPr>
                <w:rFonts w:cs="Tahoma"/>
                <w:bCs/>
                <w:szCs w:val="20"/>
                <w:u w:val="single"/>
                <w:lang w:eastAsia="en-US"/>
              </w:rPr>
            </w:pPr>
            <w:r w:rsidRPr="00682146">
              <w:rPr>
                <w:rFonts w:cs="Tahoma"/>
                <w:bCs/>
                <w:szCs w:val="20"/>
                <w:u w:val="single"/>
                <w:lang w:eastAsia="en-US"/>
              </w:rPr>
              <w:t xml:space="preserve">Gas Entry </w:t>
            </w:r>
            <w:r w:rsidRPr="00682146"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  <w:t>via</w:t>
            </w:r>
            <w:r w:rsidRPr="00682146">
              <w:rPr>
                <w:rFonts w:cs="Tahoma"/>
                <w:bCs/>
                <w:szCs w:val="20"/>
                <w:u w:val="single"/>
                <w:lang w:eastAsia="en-US"/>
              </w:rPr>
              <w:t xml:space="preserve"> IGT Pipelines</w:t>
            </w:r>
          </w:p>
          <w:p w14:paraId="3BB57166" w14:textId="6E8AF28C" w:rsidR="003D47A2" w:rsidRDefault="00F21D5A" w:rsidP="003D47A2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 xml:space="preserve">JM provided context to this new Action Plan item; a </w:t>
            </w:r>
            <w:r w:rsidR="00C16606">
              <w:rPr>
                <w:rFonts w:cs="Tahoma"/>
                <w:bCs/>
                <w:szCs w:val="20"/>
                <w:lang w:eastAsia="en-US"/>
              </w:rPr>
              <w:t xml:space="preserve">UNC Mod </w:t>
            </w:r>
            <w:r>
              <w:rPr>
                <w:rFonts w:cs="Tahoma"/>
                <w:bCs/>
                <w:szCs w:val="20"/>
                <w:lang w:eastAsia="en-US"/>
              </w:rPr>
              <w:t xml:space="preserve">had been drafted </w:t>
            </w:r>
            <w:r w:rsidR="00C16606">
              <w:rPr>
                <w:rFonts w:cs="Tahoma"/>
                <w:bCs/>
                <w:szCs w:val="20"/>
                <w:lang w:eastAsia="en-US"/>
              </w:rPr>
              <w:t>to facilitate gas entry into the total GB system</w:t>
            </w:r>
            <w:r w:rsidR="00936CAF">
              <w:rPr>
                <w:rFonts w:cs="Tahoma"/>
                <w:bCs/>
                <w:szCs w:val="20"/>
                <w:lang w:eastAsia="en-US"/>
              </w:rPr>
              <w:t xml:space="preserve"> </w:t>
            </w:r>
            <w:r w:rsidR="00936CAF">
              <w:rPr>
                <w:rFonts w:cs="Tahoma"/>
                <w:bCs/>
                <w:i/>
                <w:iCs/>
                <w:szCs w:val="20"/>
                <w:lang w:eastAsia="en-US"/>
              </w:rPr>
              <w:t>via</w:t>
            </w:r>
            <w:r w:rsidR="00936CAF">
              <w:rPr>
                <w:rFonts w:cs="Tahoma"/>
                <w:bCs/>
                <w:szCs w:val="20"/>
                <w:lang w:eastAsia="en-US"/>
              </w:rPr>
              <w:t xml:space="preserve"> IGT pipeline to </w:t>
            </w:r>
            <w:r w:rsidR="00C86DA8">
              <w:rPr>
                <w:rFonts w:cs="Tahoma"/>
                <w:bCs/>
                <w:szCs w:val="20"/>
                <w:lang w:eastAsia="en-US"/>
              </w:rPr>
              <w:t>the</w:t>
            </w:r>
            <w:r w:rsidR="00936CAF">
              <w:rPr>
                <w:rFonts w:cs="Tahoma"/>
                <w:bCs/>
                <w:szCs w:val="20"/>
                <w:lang w:eastAsia="en-US"/>
              </w:rPr>
              <w:t xml:space="preserve"> GDN</w:t>
            </w:r>
            <w:r>
              <w:rPr>
                <w:rFonts w:cs="Tahoma"/>
                <w:bCs/>
                <w:szCs w:val="20"/>
                <w:lang w:eastAsia="en-US"/>
              </w:rPr>
              <w:t>, and this draft</w:t>
            </w:r>
            <w:r w:rsidR="00C16606">
              <w:rPr>
                <w:rFonts w:cs="Tahoma"/>
                <w:bCs/>
                <w:szCs w:val="20"/>
                <w:lang w:eastAsia="en-US"/>
              </w:rPr>
              <w:t xml:space="preserve"> ha</w:t>
            </w:r>
            <w:r>
              <w:rPr>
                <w:rFonts w:cs="Tahoma"/>
                <w:bCs/>
                <w:szCs w:val="20"/>
                <w:lang w:eastAsia="en-US"/>
              </w:rPr>
              <w:t>d</w:t>
            </w:r>
            <w:r w:rsidR="00C16606">
              <w:rPr>
                <w:rFonts w:cs="Tahoma"/>
                <w:bCs/>
                <w:szCs w:val="20"/>
                <w:lang w:eastAsia="en-US"/>
              </w:rPr>
              <w:t xml:space="preserve"> been </w:t>
            </w:r>
            <w:r>
              <w:rPr>
                <w:rFonts w:cs="Tahoma"/>
                <w:bCs/>
                <w:szCs w:val="20"/>
                <w:lang w:eastAsia="en-US"/>
              </w:rPr>
              <w:t xml:space="preserve">sent </w:t>
            </w:r>
            <w:r w:rsidR="00C16606">
              <w:rPr>
                <w:rFonts w:cs="Tahoma"/>
                <w:bCs/>
                <w:szCs w:val="20"/>
                <w:lang w:eastAsia="en-US"/>
              </w:rPr>
              <w:t xml:space="preserve">to the </w:t>
            </w:r>
            <w:r>
              <w:rPr>
                <w:rFonts w:cs="Tahoma"/>
                <w:bCs/>
                <w:szCs w:val="20"/>
                <w:lang w:eastAsia="en-US"/>
              </w:rPr>
              <w:t>J</w:t>
            </w:r>
            <w:r w:rsidR="00C16606">
              <w:rPr>
                <w:rFonts w:cs="Tahoma"/>
                <w:bCs/>
                <w:szCs w:val="20"/>
                <w:lang w:eastAsia="en-US"/>
              </w:rPr>
              <w:t xml:space="preserve">oint </w:t>
            </w:r>
            <w:r>
              <w:rPr>
                <w:rFonts w:cs="Tahoma"/>
                <w:bCs/>
                <w:szCs w:val="20"/>
                <w:lang w:eastAsia="en-US"/>
              </w:rPr>
              <w:t>O</w:t>
            </w:r>
            <w:r w:rsidR="00C16606">
              <w:rPr>
                <w:rFonts w:cs="Tahoma"/>
                <w:bCs/>
                <w:szCs w:val="20"/>
                <w:lang w:eastAsia="en-US"/>
              </w:rPr>
              <w:t>ffice for a critical friend appraisa</w:t>
            </w:r>
            <w:r>
              <w:rPr>
                <w:rFonts w:cs="Tahoma"/>
                <w:bCs/>
                <w:szCs w:val="20"/>
                <w:lang w:eastAsia="en-US"/>
              </w:rPr>
              <w:t>l. Comments were being taken from the other GDNs. The Mod would be raised at the April UNC Panel</w:t>
            </w:r>
            <w:r w:rsidR="00936CAF">
              <w:rPr>
                <w:rFonts w:cs="Tahoma"/>
                <w:bCs/>
                <w:szCs w:val="20"/>
                <w:lang w:eastAsia="en-US"/>
              </w:rPr>
              <w:t>. A t</w:t>
            </w:r>
            <w:r w:rsidR="00C005F1">
              <w:rPr>
                <w:rFonts w:cs="Tahoma"/>
                <w:bCs/>
                <w:szCs w:val="20"/>
                <w:lang w:eastAsia="en-US"/>
              </w:rPr>
              <w:t>ripartite</w:t>
            </w:r>
            <w:r w:rsidR="00C16606">
              <w:rPr>
                <w:rFonts w:cs="Tahoma"/>
                <w:bCs/>
                <w:szCs w:val="20"/>
                <w:lang w:eastAsia="en-US"/>
              </w:rPr>
              <w:t xml:space="preserve"> </w:t>
            </w:r>
            <w:r w:rsidR="00936CAF">
              <w:rPr>
                <w:rFonts w:cs="Tahoma"/>
                <w:bCs/>
                <w:szCs w:val="20"/>
                <w:lang w:eastAsia="en-US"/>
              </w:rPr>
              <w:t xml:space="preserve">agreement would be necessary between the </w:t>
            </w:r>
            <w:r w:rsidR="00BE482D">
              <w:rPr>
                <w:rFonts w:cs="Tahoma"/>
                <w:bCs/>
                <w:szCs w:val="20"/>
                <w:lang w:eastAsia="en-US"/>
              </w:rPr>
              <w:t>IGT</w:t>
            </w:r>
            <w:r w:rsidR="00936CAF">
              <w:rPr>
                <w:rFonts w:cs="Tahoma"/>
                <w:bCs/>
                <w:szCs w:val="20"/>
                <w:lang w:eastAsia="en-US"/>
              </w:rPr>
              <w:t xml:space="preserve">, </w:t>
            </w:r>
            <w:r w:rsidR="00BE482D">
              <w:rPr>
                <w:rFonts w:cs="Tahoma"/>
                <w:bCs/>
                <w:szCs w:val="20"/>
                <w:lang w:eastAsia="en-US"/>
              </w:rPr>
              <w:t>DFO</w:t>
            </w:r>
            <w:r w:rsidR="00936CAF">
              <w:rPr>
                <w:rFonts w:cs="Tahoma"/>
                <w:bCs/>
                <w:szCs w:val="20"/>
                <w:lang w:eastAsia="en-US"/>
              </w:rPr>
              <w:t xml:space="preserve"> and </w:t>
            </w:r>
            <w:r w:rsidR="00BE482D">
              <w:rPr>
                <w:rFonts w:cs="Tahoma"/>
                <w:bCs/>
                <w:szCs w:val="20"/>
                <w:lang w:eastAsia="en-US"/>
              </w:rPr>
              <w:t xml:space="preserve">GDN </w:t>
            </w:r>
            <w:r w:rsidR="00936CAF">
              <w:rPr>
                <w:rFonts w:cs="Tahoma"/>
                <w:bCs/>
                <w:szCs w:val="20"/>
                <w:lang w:eastAsia="en-US"/>
              </w:rPr>
              <w:t>involved.</w:t>
            </w:r>
          </w:p>
          <w:p w14:paraId="667C8D8F" w14:textId="0605B1CD" w:rsidR="00C005F1" w:rsidRPr="0021504D" w:rsidRDefault="0021504D" w:rsidP="003D47A2">
            <w:pPr>
              <w:rPr>
                <w:rFonts w:cs="Tahoma"/>
                <w:bCs/>
                <w:szCs w:val="20"/>
                <w:lang w:eastAsia="en-US"/>
              </w:rPr>
            </w:pPr>
            <w:r w:rsidRPr="0021504D">
              <w:rPr>
                <w:rFonts w:cs="Tahoma"/>
                <w:bCs/>
                <w:szCs w:val="20"/>
                <w:lang w:eastAsia="en-US"/>
              </w:rPr>
              <w:t xml:space="preserve">Link to the UNC Mod here: </w:t>
            </w:r>
            <w:hyperlink r:id="rId13" w:history="1">
              <w:r w:rsidRPr="0021504D">
                <w:rPr>
                  <w:rStyle w:val="Hyperlink"/>
                  <w:bCs/>
                </w:rPr>
                <w:t>https://www.gasgovernance.co.uk/0842</w:t>
              </w:r>
            </w:hyperlink>
          </w:p>
          <w:p w14:paraId="4B872E46" w14:textId="77777777" w:rsidR="00F21D5A" w:rsidRPr="008F0D03" w:rsidRDefault="00F21D5A" w:rsidP="003D47A2">
            <w:pPr>
              <w:rPr>
                <w:rFonts w:cs="Tahoma"/>
                <w:b/>
                <w:szCs w:val="20"/>
                <w:lang w:eastAsia="en-US"/>
              </w:rPr>
            </w:pPr>
          </w:p>
          <w:p w14:paraId="5F9E653D" w14:textId="1127EC9C" w:rsidR="003D47A2" w:rsidRDefault="003D47A2" w:rsidP="00A2744D">
            <w:pPr>
              <w:pStyle w:val="ListParagraph"/>
              <w:numPr>
                <w:ilvl w:val="0"/>
                <w:numId w:val="12"/>
              </w:numPr>
              <w:rPr>
                <w:rFonts w:cs="Tahoma"/>
                <w:bCs/>
                <w:szCs w:val="20"/>
                <w:u w:val="single"/>
                <w:lang w:eastAsia="en-US"/>
              </w:rPr>
            </w:pPr>
            <w:r w:rsidRPr="00682146">
              <w:rPr>
                <w:rFonts w:cs="Tahoma"/>
                <w:bCs/>
                <w:szCs w:val="20"/>
                <w:u w:val="single"/>
                <w:lang w:eastAsia="en-US"/>
              </w:rPr>
              <w:t>Standardisation – Central Feedstock Register</w:t>
            </w:r>
            <w:r w:rsidR="00CB7013">
              <w:rPr>
                <w:rFonts w:cs="Tahoma"/>
                <w:bCs/>
                <w:szCs w:val="20"/>
                <w:u w:val="single"/>
                <w:lang w:eastAsia="en-US"/>
              </w:rPr>
              <w:t xml:space="preserve"> </w:t>
            </w:r>
          </w:p>
          <w:p w14:paraId="2A9D7314" w14:textId="61FC106B" w:rsidR="00CB7013" w:rsidRPr="00CB7013" w:rsidRDefault="00CB7013" w:rsidP="00CB7013">
            <w:pPr>
              <w:pStyle w:val="ListParagraph"/>
              <w:numPr>
                <w:ilvl w:val="0"/>
                <w:numId w:val="12"/>
              </w:numPr>
              <w:rPr>
                <w:rFonts w:cs="Tahoma"/>
                <w:bCs/>
                <w:szCs w:val="20"/>
                <w:u w:val="single"/>
                <w:lang w:eastAsia="en-US"/>
              </w:rPr>
            </w:pPr>
            <w:r w:rsidRPr="00682146">
              <w:rPr>
                <w:rFonts w:cs="Tahoma"/>
                <w:bCs/>
                <w:szCs w:val="20"/>
                <w:u w:val="single"/>
                <w:lang w:eastAsia="en-US"/>
              </w:rPr>
              <w:t>Standardisation – IO Schedule</w:t>
            </w:r>
          </w:p>
          <w:p w14:paraId="49112293" w14:textId="4FBF7B65" w:rsidR="0049286A" w:rsidRDefault="00A87B92" w:rsidP="0049286A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 xml:space="preserve">TH </w:t>
            </w:r>
            <w:r w:rsidR="000C40AB">
              <w:rPr>
                <w:rFonts w:cs="Tahoma"/>
                <w:bCs/>
                <w:szCs w:val="20"/>
                <w:lang w:eastAsia="en-US"/>
              </w:rPr>
              <w:t xml:space="preserve">explained that </w:t>
            </w:r>
            <w:r w:rsidR="00CB7013">
              <w:rPr>
                <w:rFonts w:cs="Tahoma"/>
                <w:bCs/>
                <w:szCs w:val="20"/>
                <w:lang w:eastAsia="en-US"/>
              </w:rPr>
              <w:t>these</w:t>
            </w:r>
            <w:r w:rsidR="000C40AB">
              <w:rPr>
                <w:rFonts w:cs="Tahoma"/>
                <w:bCs/>
                <w:szCs w:val="20"/>
                <w:lang w:eastAsia="en-US"/>
              </w:rPr>
              <w:t xml:space="preserve"> item</w:t>
            </w:r>
            <w:r w:rsidR="00CB7013">
              <w:rPr>
                <w:rFonts w:cs="Tahoma"/>
                <w:bCs/>
                <w:szCs w:val="20"/>
                <w:lang w:eastAsia="en-US"/>
              </w:rPr>
              <w:t>s</w:t>
            </w:r>
            <w:r w:rsidR="000C40AB">
              <w:rPr>
                <w:rFonts w:cs="Tahoma"/>
                <w:bCs/>
                <w:szCs w:val="20"/>
                <w:lang w:eastAsia="en-US"/>
              </w:rPr>
              <w:t xml:space="preserve"> w</w:t>
            </w:r>
            <w:r w:rsidR="00CB7013">
              <w:rPr>
                <w:rFonts w:cs="Tahoma"/>
                <w:bCs/>
                <w:szCs w:val="20"/>
                <w:lang w:eastAsia="en-US"/>
              </w:rPr>
              <w:t>ere</w:t>
            </w:r>
            <w:r w:rsidR="000C40AB">
              <w:rPr>
                <w:rFonts w:cs="Tahoma"/>
                <w:bCs/>
                <w:szCs w:val="20"/>
                <w:lang w:eastAsia="en-US"/>
              </w:rPr>
              <w:t xml:space="preserve"> still on hold</w:t>
            </w:r>
            <w:r w:rsidR="00CB7013">
              <w:rPr>
                <w:rFonts w:cs="Tahoma"/>
                <w:bCs/>
                <w:szCs w:val="20"/>
                <w:lang w:eastAsia="en-US"/>
              </w:rPr>
              <w:t xml:space="preserve">, as they were lower </w:t>
            </w:r>
            <w:r w:rsidR="0049286A">
              <w:rPr>
                <w:rFonts w:cs="Tahoma"/>
                <w:bCs/>
                <w:szCs w:val="20"/>
                <w:lang w:eastAsia="en-US"/>
              </w:rPr>
              <w:t xml:space="preserve">priority; </w:t>
            </w:r>
            <w:r w:rsidR="00CB7013">
              <w:rPr>
                <w:rFonts w:cs="Tahoma"/>
                <w:bCs/>
                <w:szCs w:val="20"/>
                <w:lang w:eastAsia="en-US"/>
              </w:rPr>
              <w:t>JM proposed archiving both</w:t>
            </w:r>
            <w:r w:rsidR="0049286A">
              <w:rPr>
                <w:rFonts w:cs="Tahoma"/>
                <w:bCs/>
                <w:szCs w:val="20"/>
                <w:lang w:eastAsia="en-US"/>
              </w:rPr>
              <w:t>.</w:t>
            </w:r>
          </w:p>
          <w:p w14:paraId="65F6163A" w14:textId="3782E43B" w:rsidR="003D47A2" w:rsidRPr="003D47A2" w:rsidRDefault="0026580E" w:rsidP="0049286A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 xml:space="preserve">As a follow-up to </w:t>
            </w:r>
            <w:r w:rsidR="00D04B24">
              <w:rPr>
                <w:rFonts w:cs="Tahoma"/>
                <w:bCs/>
                <w:szCs w:val="20"/>
                <w:lang w:eastAsia="en-US"/>
              </w:rPr>
              <w:t xml:space="preserve">the Feedstock Register, </w:t>
            </w:r>
            <w:r w:rsidR="00770D2A">
              <w:rPr>
                <w:rFonts w:cs="Tahoma"/>
                <w:bCs/>
                <w:szCs w:val="20"/>
                <w:lang w:eastAsia="en-US"/>
              </w:rPr>
              <w:t xml:space="preserve">CM noted that ADBA </w:t>
            </w:r>
            <w:r w:rsidR="00D04B24">
              <w:rPr>
                <w:rFonts w:cs="Tahoma"/>
                <w:bCs/>
                <w:szCs w:val="20"/>
                <w:lang w:eastAsia="en-US"/>
              </w:rPr>
              <w:t xml:space="preserve">had </w:t>
            </w:r>
            <w:r>
              <w:rPr>
                <w:rFonts w:cs="Tahoma"/>
                <w:bCs/>
                <w:szCs w:val="20"/>
                <w:lang w:eastAsia="en-US"/>
              </w:rPr>
              <w:t xml:space="preserve">had, but </w:t>
            </w:r>
            <w:r w:rsidR="0061692E">
              <w:rPr>
                <w:rFonts w:cs="Tahoma"/>
                <w:bCs/>
                <w:szCs w:val="20"/>
                <w:lang w:eastAsia="en-US"/>
              </w:rPr>
              <w:t>no</w:t>
            </w:r>
            <w:r w:rsidR="00E346F7">
              <w:rPr>
                <w:rFonts w:cs="Tahoma"/>
                <w:bCs/>
                <w:szCs w:val="20"/>
                <w:lang w:eastAsia="en-US"/>
              </w:rPr>
              <w:t xml:space="preserve"> longer </w:t>
            </w:r>
            <w:r>
              <w:rPr>
                <w:rFonts w:cs="Tahoma"/>
                <w:bCs/>
                <w:szCs w:val="20"/>
                <w:lang w:eastAsia="en-US"/>
              </w:rPr>
              <w:t>maintained a</w:t>
            </w:r>
            <w:r w:rsidR="0061692E">
              <w:rPr>
                <w:rFonts w:cs="Tahoma"/>
                <w:bCs/>
                <w:szCs w:val="20"/>
                <w:lang w:eastAsia="en-US"/>
              </w:rPr>
              <w:t xml:space="preserve"> “feedstock market”</w:t>
            </w:r>
            <w:r w:rsidR="00BB4329">
              <w:rPr>
                <w:rFonts w:cs="Tahoma"/>
                <w:bCs/>
                <w:szCs w:val="20"/>
                <w:lang w:eastAsia="en-US"/>
              </w:rPr>
              <w:t xml:space="preserve"> (</w:t>
            </w:r>
            <w:r w:rsidR="00C04A5C">
              <w:rPr>
                <w:rFonts w:cs="Tahoma"/>
                <w:bCs/>
                <w:szCs w:val="20"/>
                <w:lang w:eastAsia="en-US"/>
              </w:rPr>
              <w:t>as it</w:t>
            </w:r>
            <w:r w:rsidR="00CD38E9">
              <w:rPr>
                <w:rFonts w:cs="Tahoma"/>
                <w:bCs/>
                <w:szCs w:val="20"/>
                <w:lang w:eastAsia="en-US"/>
              </w:rPr>
              <w:t xml:space="preserve"> </w:t>
            </w:r>
            <w:r w:rsidR="00E73B68">
              <w:rPr>
                <w:rFonts w:cs="Tahoma"/>
                <w:bCs/>
                <w:szCs w:val="20"/>
                <w:lang w:eastAsia="en-US"/>
              </w:rPr>
              <w:t>had to be manually updated</w:t>
            </w:r>
            <w:r w:rsidR="00BB4329">
              <w:rPr>
                <w:rFonts w:cs="Tahoma"/>
                <w:bCs/>
                <w:szCs w:val="20"/>
                <w:lang w:eastAsia="en-US"/>
              </w:rPr>
              <w:t>)</w:t>
            </w:r>
            <w:r>
              <w:rPr>
                <w:rFonts w:cs="Tahoma"/>
                <w:bCs/>
                <w:szCs w:val="20"/>
                <w:lang w:eastAsia="en-US"/>
              </w:rPr>
              <w:t>.</w:t>
            </w:r>
            <w:r w:rsidR="0049286A">
              <w:rPr>
                <w:rFonts w:cs="Tahoma"/>
                <w:bCs/>
                <w:szCs w:val="20"/>
                <w:lang w:eastAsia="en-US"/>
              </w:rPr>
              <w:t xml:space="preserve"> </w:t>
            </w:r>
            <w:r w:rsidR="0025424B">
              <w:rPr>
                <w:rFonts w:cs="Tahoma"/>
                <w:bCs/>
                <w:szCs w:val="20"/>
                <w:lang w:eastAsia="en-US"/>
              </w:rPr>
              <w:t xml:space="preserve">AC </w:t>
            </w:r>
            <w:r w:rsidR="00D04B24">
              <w:rPr>
                <w:rFonts w:cs="Tahoma"/>
                <w:bCs/>
                <w:szCs w:val="20"/>
                <w:lang w:eastAsia="en-US"/>
              </w:rPr>
              <w:t>signposted</w:t>
            </w:r>
            <w:r w:rsidR="0025424B">
              <w:rPr>
                <w:rFonts w:cs="Tahoma"/>
                <w:bCs/>
                <w:szCs w:val="20"/>
                <w:lang w:eastAsia="en-US"/>
              </w:rPr>
              <w:t xml:space="preserve"> </w:t>
            </w:r>
            <w:r w:rsidR="00FA11F3">
              <w:rPr>
                <w:rFonts w:cs="Tahoma"/>
                <w:bCs/>
                <w:szCs w:val="20"/>
                <w:lang w:eastAsia="en-US"/>
              </w:rPr>
              <w:t>Lucy Hopwood</w:t>
            </w:r>
            <w:r w:rsidR="00D04B24">
              <w:rPr>
                <w:rFonts w:cs="Tahoma"/>
                <w:bCs/>
                <w:szCs w:val="20"/>
                <w:lang w:eastAsia="en-US"/>
              </w:rPr>
              <w:t xml:space="preserve"> (</w:t>
            </w:r>
            <w:r w:rsidR="00FA11F3">
              <w:rPr>
                <w:rFonts w:cs="Tahoma"/>
                <w:bCs/>
                <w:szCs w:val="20"/>
                <w:lang w:eastAsia="en-US"/>
              </w:rPr>
              <w:t>NNFCC</w:t>
            </w:r>
            <w:r w:rsidR="00D04B24">
              <w:rPr>
                <w:rFonts w:cs="Tahoma"/>
                <w:bCs/>
                <w:szCs w:val="20"/>
                <w:lang w:eastAsia="en-US"/>
              </w:rPr>
              <w:t>)</w:t>
            </w:r>
            <w:r w:rsidR="006E7139">
              <w:rPr>
                <w:rFonts w:cs="Tahoma"/>
                <w:bCs/>
                <w:szCs w:val="20"/>
                <w:lang w:eastAsia="en-US"/>
              </w:rPr>
              <w:t xml:space="preserve"> as a possible reference point</w:t>
            </w:r>
            <w:r w:rsidR="00BB4329">
              <w:rPr>
                <w:rFonts w:cs="Tahoma"/>
                <w:bCs/>
                <w:szCs w:val="20"/>
                <w:lang w:eastAsia="en-US"/>
              </w:rPr>
              <w:t xml:space="preserve"> on the subject.</w:t>
            </w:r>
          </w:p>
        </w:tc>
      </w:tr>
    </w:tbl>
    <w:p w14:paraId="3CA9B8DA" w14:textId="37F0CC08" w:rsidR="00D34903" w:rsidRDefault="00D34903" w:rsidP="002034B7">
      <w:pPr>
        <w:rPr>
          <w:rStyle w:val="SubtleReference"/>
          <w:smallCaps w:val="0"/>
          <w:color w:val="auto"/>
        </w:rPr>
      </w:pPr>
    </w:p>
    <w:tbl>
      <w:tblPr>
        <w:tblW w:w="9778" w:type="dxa"/>
        <w:tblBorders>
          <w:top w:val="single" w:sz="2" w:space="0" w:color="A6ACA9" w:themeColor="background2"/>
          <w:left w:val="single" w:sz="2" w:space="0" w:color="A6ACA9" w:themeColor="background2"/>
          <w:bottom w:val="single" w:sz="2" w:space="0" w:color="A6ACA9" w:themeColor="background2"/>
          <w:right w:val="single" w:sz="2" w:space="0" w:color="A6ACA9" w:themeColor="background2"/>
          <w:insideH w:val="single" w:sz="2" w:space="0" w:color="A6ACA9" w:themeColor="background2"/>
          <w:insideV w:val="single" w:sz="2" w:space="0" w:color="A6ACA9" w:themeColor="background2"/>
        </w:tblBorders>
        <w:tblLook w:val="0420" w:firstRow="1" w:lastRow="0" w:firstColumn="0" w:lastColumn="0" w:noHBand="0" w:noVBand="1"/>
      </w:tblPr>
      <w:tblGrid>
        <w:gridCol w:w="8077"/>
        <w:gridCol w:w="1701"/>
      </w:tblGrid>
      <w:tr w:rsidR="00D34903" w:rsidRPr="00232395" w14:paraId="48371CB4" w14:textId="77777777" w:rsidTr="009734BB">
        <w:trPr>
          <w:trHeight w:val="482"/>
        </w:trPr>
        <w:tc>
          <w:tcPr>
            <w:tcW w:w="8077" w:type="dxa"/>
            <w:shd w:val="clear" w:color="auto" w:fill="009FE3" w:themeFill="accent4"/>
            <w:vAlign w:val="center"/>
          </w:tcPr>
          <w:p w14:paraId="6A5ED1F4" w14:textId="2C557CCF" w:rsidR="00D34903" w:rsidRPr="00232395" w:rsidRDefault="003A5D0D" w:rsidP="009734BB">
            <w:pP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5.</w:t>
            </w:r>
            <w:r w:rsidR="003A5BE1"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 xml:space="preserve"> </w:t>
            </w:r>
            <w:r w:rsidR="003A5BE1" w:rsidRPr="003A5BE1">
              <w:rPr>
                <w:rFonts w:cs="Tahoma"/>
                <w:b/>
                <w:bCs/>
                <w:color w:val="FFFFFF" w:themeColor="background1"/>
                <w:szCs w:val="20"/>
                <w:lang w:val="en-US" w:eastAsia="en-US"/>
              </w:rPr>
              <w:t>0818 - Releasing of unused capacity under a specific set of circumstances</w:t>
            </w:r>
          </w:p>
        </w:tc>
        <w:tc>
          <w:tcPr>
            <w:tcW w:w="1701" w:type="dxa"/>
            <w:shd w:val="clear" w:color="auto" w:fill="009FE3" w:themeFill="accent4"/>
            <w:vAlign w:val="center"/>
          </w:tcPr>
          <w:p w14:paraId="52A9693D" w14:textId="6B6C9FB1" w:rsidR="00D34903" w:rsidRPr="00232395" w:rsidRDefault="003A5BE1" w:rsidP="009734BB">
            <w:pPr>
              <w:jc w:val="center"/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EB</w:t>
            </w:r>
          </w:p>
        </w:tc>
      </w:tr>
      <w:tr w:rsidR="00D34903" w:rsidRPr="00232395" w14:paraId="2BDB490F" w14:textId="77777777" w:rsidTr="009734BB">
        <w:trPr>
          <w:trHeight w:val="482"/>
        </w:trPr>
        <w:tc>
          <w:tcPr>
            <w:tcW w:w="9778" w:type="dxa"/>
            <w:gridSpan w:val="2"/>
            <w:shd w:val="clear" w:color="auto" w:fill="E1F6FF"/>
            <w:vAlign w:val="center"/>
          </w:tcPr>
          <w:p w14:paraId="033C694B" w14:textId="20ED5AF7" w:rsidR="00C91DC8" w:rsidRDefault="00264744" w:rsidP="009734BB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EB requested</w:t>
            </w:r>
            <w:r w:rsidR="0095103E">
              <w:rPr>
                <w:rFonts w:cs="Tahoma"/>
                <w:bCs/>
                <w:szCs w:val="20"/>
                <w:lang w:eastAsia="en-US"/>
              </w:rPr>
              <w:t xml:space="preserve"> support for Mod </w:t>
            </w:r>
            <w:r>
              <w:rPr>
                <w:rFonts w:cs="Tahoma"/>
                <w:bCs/>
                <w:szCs w:val="20"/>
                <w:lang w:eastAsia="en-US"/>
              </w:rPr>
              <w:t xml:space="preserve">0818; the Mod </w:t>
            </w:r>
            <w:r w:rsidR="0013615E">
              <w:rPr>
                <w:rFonts w:cs="Tahoma"/>
                <w:bCs/>
                <w:szCs w:val="20"/>
                <w:lang w:eastAsia="en-US"/>
              </w:rPr>
              <w:t xml:space="preserve">had been through consultation, </w:t>
            </w:r>
            <w:r>
              <w:rPr>
                <w:rFonts w:cs="Tahoma"/>
                <w:bCs/>
                <w:szCs w:val="20"/>
                <w:lang w:eastAsia="en-US"/>
              </w:rPr>
              <w:t>was</w:t>
            </w:r>
            <w:r w:rsidR="0095103E">
              <w:rPr>
                <w:rFonts w:cs="Tahoma"/>
                <w:bCs/>
                <w:szCs w:val="20"/>
                <w:lang w:eastAsia="en-US"/>
              </w:rPr>
              <w:t xml:space="preserve"> through to panel</w:t>
            </w:r>
            <w:r w:rsidR="0013615E">
              <w:rPr>
                <w:rFonts w:cs="Tahoma"/>
                <w:bCs/>
                <w:szCs w:val="20"/>
                <w:lang w:eastAsia="en-US"/>
              </w:rPr>
              <w:t xml:space="preserve"> </w:t>
            </w:r>
            <w:r w:rsidR="0095103E">
              <w:rPr>
                <w:rFonts w:cs="Tahoma"/>
                <w:bCs/>
                <w:szCs w:val="20"/>
                <w:lang w:eastAsia="en-US"/>
              </w:rPr>
              <w:t>and sitting with Ofgem</w:t>
            </w:r>
            <w:r w:rsidR="0013615E">
              <w:rPr>
                <w:rFonts w:cs="Tahoma"/>
                <w:bCs/>
                <w:szCs w:val="20"/>
                <w:lang w:eastAsia="en-US"/>
              </w:rPr>
              <w:t xml:space="preserve"> (however Ofgem could still receive letters of support). </w:t>
            </w:r>
            <w:r w:rsidR="0011432D">
              <w:rPr>
                <w:rFonts w:cs="Tahoma"/>
                <w:bCs/>
                <w:szCs w:val="20"/>
                <w:lang w:eastAsia="en-US"/>
              </w:rPr>
              <w:t xml:space="preserve">RH echoed this call; some of the shippers holding capacity were not keen on the Mod, so </w:t>
            </w:r>
            <w:r w:rsidR="00BB4329">
              <w:rPr>
                <w:rFonts w:cs="Tahoma"/>
                <w:bCs/>
                <w:szCs w:val="20"/>
                <w:lang w:eastAsia="en-US"/>
              </w:rPr>
              <w:t>it</w:t>
            </w:r>
            <w:r w:rsidR="0011432D">
              <w:rPr>
                <w:rFonts w:cs="Tahoma"/>
                <w:bCs/>
                <w:szCs w:val="20"/>
                <w:lang w:eastAsia="en-US"/>
              </w:rPr>
              <w:t xml:space="preserve"> had not </w:t>
            </w:r>
            <w:r w:rsidR="00BB4329">
              <w:rPr>
                <w:rFonts w:cs="Tahoma"/>
                <w:bCs/>
                <w:szCs w:val="20"/>
                <w:lang w:eastAsia="en-US"/>
              </w:rPr>
              <w:t>progressed with</w:t>
            </w:r>
            <w:r w:rsidR="0011432D">
              <w:rPr>
                <w:rFonts w:cs="Tahoma"/>
                <w:bCs/>
                <w:szCs w:val="20"/>
                <w:lang w:eastAsia="en-US"/>
              </w:rPr>
              <w:t xml:space="preserve"> unanimous support</w:t>
            </w:r>
            <w:r w:rsidR="001437D6">
              <w:rPr>
                <w:rFonts w:cs="Tahoma"/>
                <w:bCs/>
                <w:szCs w:val="20"/>
                <w:lang w:eastAsia="en-US"/>
              </w:rPr>
              <w:t>.</w:t>
            </w:r>
          </w:p>
          <w:p w14:paraId="0555138A" w14:textId="7E56BBC3" w:rsidR="00E20A34" w:rsidRPr="00E20A34" w:rsidRDefault="00BD2A33" w:rsidP="009734BB">
            <w:pPr>
              <w:rPr>
                <w:rFonts w:cs="Tahoma"/>
                <w:b/>
                <w:szCs w:val="20"/>
                <w:lang w:eastAsia="en-US"/>
              </w:rPr>
            </w:pPr>
            <w:r>
              <w:t xml:space="preserve">Slides available at: </w:t>
            </w:r>
            <w:hyperlink r:id="rId14" w:anchor="/110529290" w:history="1">
              <w:r>
                <w:rPr>
                  <w:rStyle w:val="Hyperlink"/>
                </w:rPr>
                <w:t>EnCF Mod 0818 (huddle.net)</w:t>
              </w:r>
            </w:hyperlink>
          </w:p>
        </w:tc>
      </w:tr>
    </w:tbl>
    <w:p w14:paraId="2BD01FC0" w14:textId="5B395B7E" w:rsidR="00D34903" w:rsidRDefault="00D34903" w:rsidP="002034B7">
      <w:pPr>
        <w:rPr>
          <w:rStyle w:val="SubtleReference"/>
          <w:smallCaps w:val="0"/>
          <w:color w:val="auto"/>
        </w:rPr>
      </w:pPr>
    </w:p>
    <w:tbl>
      <w:tblPr>
        <w:tblW w:w="9778" w:type="dxa"/>
        <w:tblBorders>
          <w:top w:val="single" w:sz="2" w:space="0" w:color="A6ACA9" w:themeColor="background2"/>
          <w:left w:val="single" w:sz="2" w:space="0" w:color="A6ACA9" w:themeColor="background2"/>
          <w:bottom w:val="single" w:sz="2" w:space="0" w:color="A6ACA9" w:themeColor="background2"/>
          <w:right w:val="single" w:sz="2" w:space="0" w:color="A6ACA9" w:themeColor="background2"/>
          <w:insideH w:val="single" w:sz="2" w:space="0" w:color="A6ACA9" w:themeColor="background2"/>
          <w:insideV w:val="single" w:sz="2" w:space="0" w:color="A6ACA9" w:themeColor="background2"/>
        </w:tblBorders>
        <w:tblLook w:val="0420" w:firstRow="1" w:lastRow="0" w:firstColumn="0" w:lastColumn="0" w:noHBand="0" w:noVBand="1"/>
      </w:tblPr>
      <w:tblGrid>
        <w:gridCol w:w="8077"/>
        <w:gridCol w:w="1701"/>
      </w:tblGrid>
      <w:tr w:rsidR="003A5D0D" w:rsidRPr="00232395" w14:paraId="231C888A" w14:textId="77777777" w:rsidTr="00DA209E">
        <w:trPr>
          <w:trHeight w:val="482"/>
        </w:trPr>
        <w:tc>
          <w:tcPr>
            <w:tcW w:w="8077" w:type="dxa"/>
            <w:shd w:val="clear" w:color="auto" w:fill="009FE3" w:themeFill="accent4"/>
            <w:vAlign w:val="center"/>
          </w:tcPr>
          <w:p w14:paraId="0C2E31F9" w14:textId="77D548D8" w:rsidR="003A5D0D" w:rsidRPr="00232395" w:rsidRDefault="002666DA" w:rsidP="00DA209E">
            <w:pP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 w:rsidRPr="00CE64C4"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6.</w:t>
            </w:r>
            <w:r w:rsidR="003A5BE1" w:rsidRPr="00CE64C4">
              <w:rPr>
                <w:rFonts w:asciiTheme="majorHAnsi" w:eastAsia="Calibri"/>
                <w:b/>
                <w:bCs/>
                <w:color w:val="FFFFFF" w:themeColor="background1"/>
                <w:kern w:val="24"/>
                <w:sz w:val="27"/>
                <w:szCs w:val="27"/>
                <w:lang w:val="en-US"/>
              </w:rPr>
              <w:t xml:space="preserve"> </w:t>
            </w:r>
            <w:r w:rsidR="00CE64C4" w:rsidRPr="00CE64C4">
              <w:rPr>
                <w:b/>
                <w:bCs/>
                <w:color w:val="FFFFFF" w:themeColor="background1"/>
                <w:kern w:val="24"/>
                <w:szCs w:val="27"/>
                <w:lang w:val="en-US"/>
              </w:rPr>
              <w:t>GS(M)R Amendments</w:t>
            </w:r>
          </w:p>
        </w:tc>
        <w:tc>
          <w:tcPr>
            <w:tcW w:w="1701" w:type="dxa"/>
            <w:shd w:val="clear" w:color="auto" w:fill="009FE3" w:themeFill="accent4"/>
            <w:vAlign w:val="center"/>
          </w:tcPr>
          <w:p w14:paraId="633FD6B3" w14:textId="205D1B02" w:rsidR="003A5D0D" w:rsidRPr="00232395" w:rsidRDefault="00046429" w:rsidP="00DA209E">
            <w:pPr>
              <w:jc w:val="center"/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ALL</w:t>
            </w:r>
          </w:p>
        </w:tc>
      </w:tr>
      <w:tr w:rsidR="003A5D0D" w14:paraId="089827E3" w14:textId="77777777" w:rsidTr="00DA209E">
        <w:trPr>
          <w:trHeight w:val="482"/>
        </w:trPr>
        <w:tc>
          <w:tcPr>
            <w:tcW w:w="9778" w:type="dxa"/>
            <w:gridSpan w:val="2"/>
            <w:shd w:val="clear" w:color="auto" w:fill="E1F6FF"/>
            <w:vAlign w:val="center"/>
          </w:tcPr>
          <w:p w14:paraId="2A75706A" w14:textId="11C8ED63" w:rsidR="00A56BD3" w:rsidRPr="00A902AE" w:rsidRDefault="00A902AE" w:rsidP="00046429">
            <w:pPr>
              <w:rPr>
                <w:rFonts w:cs="Tahoma"/>
                <w:bCs/>
                <w:i/>
                <w:iCs/>
                <w:szCs w:val="20"/>
                <w:lang w:eastAsia="en-US"/>
              </w:rPr>
            </w:pPr>
            <w:r w:rsidRPr="00A902AE">
              <w:rPr>
                <w:rFonts w:cs="Tahoma"/>
                <w:bCs/>
                <w:i/>
                <w:iCs/>
                <w:szCs w:val="20"/>
                <w:lang w:eastAsia="en-US"/>
              </w:rPr>
              <w:t>On the need for a safety case for pipelines conveying biomethane:</w:t>
            </w:r>
          </w:p>
          <w:p w14:paraId="4A186DDC" w14:textId="6B639E7B" w:rsidR="00A56BD3" w:rsidRDefault="00A56BD3" w:rsidP="00046429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 xml:space="preserve">AC </w:t>
            </w:r>
            <w:r w:rsidR="008A6A65">
              <w:rPr>
                <w:rFonts w:cs="Tahoma"/>
                <w:bCs/>
                <w:szCs w:val="20"/>
                <w:lang w:eastAsia="en-US"/>
              </w:rPr>
              <w:t xml:space="preserve">and JM </w:t>
            </w:r>
            <w:r w:rsidR="00AF3859">
              <w:rPr>
                <w:rFonts w:cs="Tahoma"/>
                <w:bCs/>
                <w:szCs w:val="20"/>
                <w:lang w:eastAsia="en-US"/>
              </w:rPr>
              <w:t xml:space="preserve">pointed out some ambiguity in the wording, e.g., </w:t>
            </w:r>
            <w:r w:rsidR="001E66FD">
              <w:rPr>
                <w:rFonts w:cs="Tahoma"/>
                <w:bCs/>
                <w:szCs w:val="20"/>
                <w:lang w:eastAsia="en-US"/>
              </w:rPr>
              <w:t>the scope of “on-site” pipework</w:t>
            </w:r>
            <w:r w:rsidR="004E7648">
              <w:rPr>
                <w:rFonts w:cs="Tahoma"/>
                <w:bCs/>
                <w:szCs w:val="20"/>
                <w:lang w:eastAsia="en-US"/>
              </w:rPr>
              <w:t xml:space="preserve">, </w:t>
            </w:r>
            <w:r w:rsidR="00EB1650">
              <w:rPr>
                <w:rFonts w:cs="Tahoma"/>
                <w:bCs/>
                <w:szCs w:val="20"/>
                <w:lang w:eastAsia="en-US"/>
              </w:rPr>
              <w:t xml:space="preserve">the case for </w:t>
            </w:r>
            <w:r w:rsidR="004E7648">
              <w:rPr>
                <w:rFonts w:cs="Tahoma"/>
                <w:bCs/>
                <w:szCs w:val="20"/>
                <w:lang w:eastAsia="en-US"/>
              </w:rPr>
              <w:t>offsite biomethane where the pipework was not adopted</w:t>
            </w:r>
            <w:r w:rsidR="001F5934">
              <w:rPr>
                <w:rFonts w:cs="Tahoma"/>
                <w:bCs/>
                <w:szCs w:val="20"/>
                <w:lang w:eastAsia="en-US"/>
              </w:rPr>
              <w:t>, “upgrading” and “blending” biomethane</w:t>
            </w:r>
            <w:r w:rsidR="00EB1650">
              <w:rPr>
                <w:rFonts w:cs="Tahoma"/>
                <w:bCs/>
                <w:szCs w:val="20"/>
                <w:lang w:eastAsia="en-US"/>
              </w:rPr>
              <w:t xml:space="preserve">. Nick King and Tony </w:t>
            </w:r>
            <w:r w:rsidR="008A6A65">
              <w:rPr>
                <w:rFonts w:cs="Tahoma"/>
                <w:bCs/>
                <w:szCs w:val="20"/>
                <w:lang w:eastAsia="en-US"/>
              </w:rPr>
              <w:t>Pym were to have a meeting with the HSE to ensure that the intentions were correct.</w:t>
            </w:r>
          </w:p>
          <w:p w14:paraId="66773208" w14:textId="77777777" w:rsidR="00A55A12" w:rsidRDefault="001F5934" w:rsidP="00046429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lastRenderedPageBreak/>
              <w:t xml:space="preserve">CM added that </w:t>
            </w:r>
            <w:r w:rsidR="00DB293C">
              <w:rPr>
                <w:rFonts w:cs="Tahoma"/>
                <w:bCs/>
                <w:szCs w:val="20"/>
                <w:lang w:eastAsia="en-US"/>
              </w:rPr>
              <w:t xml:space="preserve">ADBA had met with the HSE the previous day, and written a blog on first interpretations and better understanding the boundaries. She added that the HSE were drafting guidance and looking to publish </w:t>
            </w:r>
            <w:r w:rsidR="0001787A">
              <w:rPr>
                <w:rFonts w:cs="Tahoma"/>
                <w:bCs/>
                <w:szCs w:val="20"/>
                <w:lang w:eastAsia="en-US"/>
              </w:rPr>
              <w:t>pre-summer, so there was time to feed into the HSE questions, case studies, etc.</w:t>
            </w:r>
          </w:p>
          <w:p w14:paraId="5C94F527" w14:textId="495E1580" w:rsidR="00505E61" w:rsidRDefault="00505E61" w:rsidP="00046429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 xml:space="preserve">CM </w:t>
            </w:r>
            <w:r w:rsidR="005B70B4">
              <w:rPr>
                <w:rFonts w:cs="Tahoma"/>
                <w:bCs/>
                <w:szCs w:val="20"/>
                <w:lang w:eastAsia="en-US"/>
              </w:rPr>
              <w:t xml:space="preserve">also </w:t>
            </w:r>
            <w:r>
              <w:rPr>
                <w:rFonts w:cs="Tahoma"/>
                <w:bCs/>
                <w:szCs w:val="20"/>
                <w:lang w:eastAsia="en-US"/>
              </w:rPr>
              <w:t>clarified that sites coming online before October 2024 would be subject to this amendment.</w:t>
            </w:r>
          </w:p>
          <w:p w14:paraId="09A198B4" w14:textId="1E51417B" w:rsidR="00CE64C4" w:rsidRDefault="00114057" w:rsidP="00046429">
            <w:pPr>
              <w:rPr>
                <w:rFonts w:cs="Tahoma"/>
                <w:b/>
                <w:szCs w:val="20"/>
                <w:lang w:eastAsia="en-US"/>
              </w:rPr>
            </w:pPr>
            <w:r w:rsidRPr="00114057">
              <w:rPr>
                <w:rFonts w:cs="Tahoma"/>
                <w:b/>
                <w:szCs w:val="20"/>
                <w:lang w:eastAsia="en-US"/>
              </w:rPr>
              <w:t>Action</w:t>
            </w:r>
            <w:r w:rsidR="0001787A">
              <w:rPr>
                <w:rFonts w:cs="Tahoma"/>
                <w:b/>
                <w:szCs w:val="20"/>
                <w:lang w:eastAsia="en-US"/>
              </w:rPr>
              <w:t xml:space="preserve">: </w:t>
            </w:r>
            <w:r w:rsidRPr="00114057">
              <w:rPr>
                <w:rFonts w:cs="Tahoma"/>
                <w:b/>
                <w:szCs w:val="20"/>
                <w:lang w:eastAsia="en-US"/>
              </w:rPr>
              <w:t xml:space="preserve">CM to </w:t>
            </w:r>
            <w:r w:rsidR="0001787A">
              <w:rPr>
                <w:rFonts w:cs="Tahoma"/>
                <w:b/>
                <w:szCs w:val="20"/>
                <w:lang w:eastAsia="en-US"/>
              </w:rPr>
              <w:t>circulate to the group (</w:t>
            </w:r>
            <w:r w:rsidR="0001787A">
              <w:rPr>
                <w:rFonts w:cs="Tahoma"/>
                <w:b/>
                <w:i/>
                <w:iCs/>
                <w:szCs w:val="20"/>
                <w:lang w:eastAsia="en-US"/>
              </w:rPr>
              <w:t xml:space="preserve">via </w:t>
            </w:r>
            <w:r w:rsidR="0001787A">
              <w:rPr>
                <w:rFonts w:cs="Tahoma"/>
                <w:b/>
                <w:szCs w:val="20"/>
                <w:lang w:eastAsia="en-US"/>
              </w:rPr>
              <w:t>MR) the blog text</w:t>
            </w:r>
            <w:r w:rsidR="00A55A12">
              <w:rPr>
                <w:rFonts w:cs="Tahoma"/>
                <w:b/>
                <w:szCs w:val="20"/>
                <w:lang w:eastAsia="en-US"/>
              </w:rPr>
              <w:t xml:space="preserve"> from ADBA’s meeting with the HSE on the GS(M)R Amendments</w:t>
            </w:r>
          </w:p>
          <w:p w14:paraId="5372B647" w14:textId="77777777" w:rsidR="00B441E4" w:rsidRPr="006D61A2" w:rsidRDefault="00B441E4" w:rsidP="00046429">
            <w:pPr>
              <w:rPr>
                <w:rFonts w:cs="Tahoma"/>
                <w:b/>
                <w:sz w:val="14"/>
                <w:szCs w:val="14"/>
                <w:lang w:eastAsia="en-US"/>
              </w:rPr>
            </w:pPr>
          </w:p>
          <w:p w14:paraId="2CA829C8" w14:textId="410B5AAB" w:rsidR="00A902AE" w:rsidRDefault="00A902AE" w:rsidP="00046429">
            <w:pPr>
              <w:rPr>
                <w:rFonts w:cs="Tahoma"/>
                <w:bCs/>
                <w:i/>
                <w:iCs/>
                <w:szCs w:val="20"/>
                <w:lang w:eastAsia="en-US"/>
              </w:rPr>
            </w:pPr>
            <w:r>
              <w:rPr>
                <w:rFonts w:cs="Tahoma"/>
                <w:bCs/>
                <w:i/>
                <w:iCs/>
                <w:szCs w:val="20"/>
                <w:lang w:eastAsia="en-US"/>
              </w:rPr>
              <w:t xml:space="preserve">On the </w:t>
            </w:r>
            <w:r w:rsidR="00902EE9">
              <w:rPr>
                <w:rFonts w:cs="Tahoma"/>
                <w:bCs/>
                <w:i/>
                <w:iCs/>
                <w:szCs w:val="20"/>
                <w:lang w:eastAsia="en-US"/>
              </w:rPr>
              <w:t>relative density requirement</w:t>
            </w:r>
            <w:r w:rsidR="00C32BCE">
              <w:rPr>
                <w:rFonts w:cs="Tahoma"/>
                <w:bCs/>
                <w:i/>
                <w:iCs/>
                <w:szCs w:val="20"/>
                <w:lang w:eastAsia="en-US"/>
              </w:rPr>
              <w:t xml:space="preserve"> </w:t>
            </w:r>
            <w:r w:rsidR="00C32BCE" w:rsidRPr="00C32BCE">
              <w:rPr>
                <w:rFonts w:cs="Tahoma"/>
                <w:bCs/>
                <w:i/>
                <w:iCs/>
                <w:szCs w:val="20"/>
                <w:lang w:eastAsia="en-US"/>
              </w:rPr>
              <w:t>≤</w:t>
            </w:r>
            <w:r w:rsidR="00C32BCE">
              <w:rPr>
                <w:rFonts w:cs="Tahoma"/>
                <w:bCs/>
                <w:i/>
                <w:iCs/>
                <w:szCs w:val="20"/>
                <w:lang w:eastAsia="en-US"/>
              </w:rPr>
              <w:t>0.700:</w:t>
            </w:r>
          </w:p>
          <w:p w14:paraId="465B4DD5" w14:textId="77883171" w:rsidR="004B68F7" w:rsidRDefault="00C32BCE" w:rsidP="004B68F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 xml:space="preserve">LF outlined that the grid entry units did not have alarms </w:t>
            </w:r>
            <w:r w:rsidR="00410A21">
              <w:rPr>
                <w:rFonts w:cs="Tahoma"/>
                <w:bCs/>
                <w:szCs w:val="20"/>
                <w:lang w:eastAsia="en-US"/>
              </w:rPr>
              <w:t>or</w:t>
            </w:r>
            <w:r>
              <w:rPr>
                <w:rFonts w:cs="Tahoma"/>
                <w:bCs/>
                <w:szCs w:val="20"/>
                <w:lang w:eastAsia="en-US"/>
              </w:rPr>
              <w:t xml:space="preserve"> trips that divert gas at the point where relative density was </w:t>
            </w:r>
            <w:r w:rsidR="00A13829">
              <w:rPr>
                <w:rFonts w:cs="Tahoma"/>
                <w:bCs/>
                <w:szCs w:val="20"/>
                <w:lang w:eastAsia="en-US"/>
              </w:rPr>
              <w:t xml:space="preserve">recorded. JM noted that Dave Lander (involved with the IGEM gas quality working group that proposed this change) was surprised that this was </w:t>
            </w:r>
            <w:r w:rsidR="004B68F7">
              <w:rPr>
                <w:rFonts w:cs="Tahoma"/>
                <w:bCs/>
                <w:szCs w:val="20"/>
                <w:lang w:eastAsia="en-US"/>
              </w:rPr>
              <w:t>coming into effect so soon</w:t>
            </w:r>
            <w:r w:rsidR="00E51F89">
              <w:rPr>
                <w:rFonts w:cs="Tahoma"/>
                <w:bCs/>
                <w:szCs w:val="20"/>
                <w:lang w:eastAsia="en-US"/>
              </w:rPr>
              <w:t>.</w:t>
            </w:r>
          </w:p>
          <w:p w14:paraId="59084D8C" w14:textId="4DD755C2" w:rsidR="00EA0CF0" w:rsidRDefault="00392AC5" w:rsidP="004B68F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The group agreed</w:t>
            </w:r>
            <w:r w:rsidR="00D946F4">
              <w:rPr>
                <w:rFonts w:cs="Tahoma"/>
                <w:bCs/>
                <w:szCs w:val="20"/>
                <w:lang w:eastAsia="en-US"/>
              </w:rPr>
              <w:t xml:space="preserve"> – based off </w:t>
            </w:r>
            <w:r w:rsidR="001820A4">
              <w:rPr>
                <w:rFonts w:cs="Tahoma"/>
                <w:bCs/>
                <w:szCs w:val="20"/>
                <w:lang w:eastAsia="en-US"/>
              </w:rPr>
              <w:t>separate analytics from LF and RB</w:t>
            </w:r>
            <w:r w:rsidR="00D946F4">
              <w:rPr>
                <w:rFonts w:cs="Tahoma"/>
                <w:bCs/>
                <w:szCs w:val="20"/>
                <w:lang w:eastAsia="en-US"/>
              </w:rPr>
              <w:t xml:space="preserve"> – that </w:t>
            </w:r>
            <w:r w:rsidR="009A2931">
              <w:rPr>
                <w:rFonts w:cs="Tahoma"/>
                <w:bCs/>
                <w:szCs w:val="20"/>
                <w:lang w:eastAsia="en-US"/>
              </w:rPr>
              <w:t>it was near impossible to exceed this relative density without other separate layers of protection</w:t>
            </w:r>
            <w:r w:rsidR="00EA0CF0">
              <w:rPr>
                <w:rFonts w:cs="Tahoma"/>
                <w:bCs/>
                <w:szCs w:val="20"/>
                <w:lang w:eastAsia="en-US"/>
              </w:rPr>
              <w:t xml:space="preserve"> kicking in first, even with the worst conditions allowed by the GC.</w:t>
            </w:r>
            <w:r w:rsidR="00A751F3">
              <w:rPr>
                <w:rFonts w:cs="Tahoma"/>
                <w:bCs/>
                <w:szCs w:val="20"/>
                <w:lang w:eastAsia="en-US"/>
              </w:rPr>
              <w:t xml:space="preserve"> The group also agreed that it was the responsibility of the GDNs to demonstrate that they can act within GS(M)R.</w:t>
            </w:r>
          </w:p>
          <w:p w14:paraId="225D1D22" w14:textId="64B6804A" w:rsidR="00CE64C4" w:rsidRDefault="00E51F89" w:rsidP="00A751F3">
            <w:pPr>
              <w:rPr>
                <w:rFonts w:cs="Tahoma"/>
                <w:b/>
                <w:szCs w:val="20"/>
                <w:lang w:eastAsia="en-US"/>
              </w:rPr>
            </w:pPr>
            <w:r w:rsidRPr="00E51F89">
              <w:rPr>
                <w:rFonts w:cs="Tahoma"/>
                <w:b/>
                <w:szCs w:val="20"/>
                <w:lang w:eastAsia="en-US"/>
              </w:rPr>
              <w:t>Action: GDNs to determine if it is necessary to write to the HSE about the April 2023 implementation of the relative density change.</w:t>
            </w:r>
          </w:p>
          <w:p w14:paraId="720BA098" w14:textId="77777777" w:rsidR="00B441E4" w:rsidRPr="006D61A2" w:rsidRDefault="00B441E4" w:rsidP="00A751F3">
            <w:pPr>
              <w:rPr>
                <w:rFonts w:cs="Tahoma"/>
                <w:b/>
                <w:sz w:val="14"/>
                <w:szCs w:val="14"/>
                <w:lang w:eastAsia="en-US"/>
              </w:rPr>
            </w:pPr>
          </w:p>
          <w:p w14:paraId="0E57100A" w14:textId="041F8EBB" w:rsidR="00A751F3" w:rsidRPr="00CE64C4" w:rsidRDefault="00A751F3" w:rsidP="00A751F3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i/>
                <w:iCs/>
                <w:szCs w:val="20"/>
                <w:lang w:eastAsia="en-US"/>
              </w:rPr>
              <w:t xml:space="preserve">On the lowering of the Wobbe </w:t>
            </w:r>
            <w:r w:rsidR="00CE64C4">
              <w:rPr>
                <w:rFonts w:cs="Tahoma"/>
                <w:bCs/>
                <w:i/>
                <w:iCs/>
                <w:szCs w:val="20"/>
                <w:lang w:eastAsia="en-US"/>
              </w:rPr>
              <w:t>Number limit:</w:t>
            </w:r>
          </w:p>
          <w:p w14:paraId="6F3B0470" w14:textId="77777777" w:rsidR="00046429" w:rsidRDefault="00E97CE0" w:rsidP="000611DB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It was unclear</w:t>
            </w:r>
            <w:r w:rsidR="000611DB">
              <w:rPr>
                <w:rFonts w:cs="Tahoma"/>
                <w:bCs/>
                <w:szCs w:val="20"/>
                <w:lang w:eastAsia="en-US"/>
              </w:rPr>
              <w:t xml:space="preserve"> at this stage</w:t>
            </w:r>
            <w:r>
              <w:rPr>
                <w:rFonts w:cs="Tahoma"/>
                <w:bCs/>
                <w:szCs w:val="20"/>
                <w:lang w:eastAsia="en-US"/>
              </w:rPr>
              <w:t xml:space="preserve"> whether this change would require much more than number changes on the systems</w:t>
            </w:r>
            <w:r w:rsidR="00C972FB">
              <w:rPr>
                <w:rFonts w:cs="Tahoma"/>
                <w:bCs/>
                <w:szCs w:val="20"/>
                <w:lang w:eastAsia="en-US"/>
              </w:rPr>
              <w:t xml:space="preserve">, or whether </w:t>
            </w:r>
            <w:r w:rsidR="000611DB">
              <w:rPr>
                <w:rFonts w:cs="Tahoma"/>
                <w:bCs/>
                <w:szCs w:val="20"/>
                <w:lang w:eastAsia="en-US"/>
              </w:rPr>
              <w:t xml:space="preserve">e.g., </w:t>
            </w:r>
            <w:r w:rsidR="00C972FB">
              <w:rPr>
                <w:rFonts w:cs="Tahoma"/>
                <w:bCs/>
                <w:szCs w:val="20"/>
                <w:lang w:eastAsia="en-US"/>
              </w:rPr>
              <w:t>pack file changes, end-to-end checks,</w:t>
            </w:r>
            <w:r w:rsidR="000611DB">
              <w:rPr>
                <w:rFonts w:cs="Tahoma"/>
                <w:bCs/>
                <w:szCs w:val="20"/>
                <w:lang w:eastAsia="en-US"/>
              </w:rPr>
              <w:t xml:space="preserve"> software changes to re-configure hard-coded limits would be required.</w:t>
            </w:r>
          </w:p>
          <w:p w14:paraId="18AEE51C" w14:textId="48D4C2AB" w:rsidR="000611DB" w:rsidRPr="000611DB" w:rsidRDefault="000611DB" w:rsidP="000611DB">
            <w:pPr>
              <w:rPr>
                <w:rFonts w:cs="Tahoma"/>
                <w:b/>
                <w:szCs w:val="20"/>
                <w:lang w:eastAsia="en-US"/>
              </w:rPr>
            </w:pPr>
            <w:r>
              <w:rPr>
                <w:rFonts w:cs="Tahoma"/>
                <w:b/>
                <w:szCs w:val="20"/>
                <w:lang w:eastAsia="en-US"/>
              </w:rPr>
              <w:t xml:space="preserve">Action: GDNs to investigate </w:t>
            </w:r>
            <w:r w:rsidR="0035610D">
              <w:rPr>
                <w:rFonts w:cs="Tahoma"/>
                <w:b/>
                <w:szCs w:val="20"/>
                <w:lang w:eastAsia="en-US"/>
              </w:rPr>
              <w:t xml:space="preserve">the level of difficulty </w:t>
            </w:r>
            <w:r w:rsidR="00B441E4">
              <w:rPr>
                <w:rFonts w:cs="Tahoma"/>
                <w:b/>
                <w:szCs w:val="20"/>
                <w:lang w:eastAsia="en-US"/>
              </w:rPr>
              <w:t>associated with</w:t>
            </w:r>
            <w:r w:rsidR="0035610D">
              <w:rPr>
                <w:rFonts w:cs="Tahoma"/>
                <w:b/>
                <w:szCs w:val="20"/>
                <w:lang w:eastAsia="en-US"/>
              </w:rPr>
              <w:t xml:space="preserve"> adapt</w:t>
            </w:r>
            <w:r w:rsidR="00B441E4">
              <w:rPr>
                <w:rFonts w:cs="Tahoma"/>
                <w:b/>
                <w:szCs w:val="20"/>
                <w:lang w:eastAsia="en-US"/>
              </w:rPr>
              <w:t>ing</w:t>
            </w:r>
            <w:r w:rsidR="0035610D">
              <w:rPr>
                <w:rFonts w:cs="Tahoma"/>
                <w:b/>
                <w:szCs w:val="20"/>
                <w:lang w:eastAsia="en-US"/>
              </w:rPr>
              <w:t xml:space="preserve"> systems for the lowering of the Wobbe Number limit.</w:t>
            </w:r>
          </w:p>
        </w:tc>
      </w:tr>
    </w:tbl>
    <w:p w14:paraId="4277E237" w14:textId="197EF12B" w:rsidR="003A5D0D" w:rsidRPr="006D61A2" w:rsidRDefault="003A5D0D" w:rsidP="002034B7">
      <w:pPr>
        <w:rPr>
          <w:rStyle w:val="SubtleReference"/>
          <w:smallCaps w:val="0"/>
          <w:color w:val="auto"/>
          <w:sz w:val="10"/>
          <w:szCs w:val="14"/>
        </w:rPr>
      </w:pPr>
    </w:p>
    <w:tbl>
      <w:tblPr>
        <w:tblW w:w="9778" w:type="dxa"/>
        <w:tblBorders>
          <w:top w:val="single" w:sz="2" w:space="0" w:color="A6ACA9" w:themeColor="background2"/>
          <w:left w:val="single" w:sz="2" w:space="0" w:color="A6ACA9" w:themeColor="background2"/>
          <w:bottom w:val="single" w:sz="2" w:space="0" w:color="A6ACA9" w:themeColor="background2"/>
          <w:right w:val="single" w:sz="2" w:space="0" w:color="A6ACA9" w:themeColor="background2"/>
          <w:insideH w:val="single" w:sz="2" w:space="0" w:color="A6ACA9" w:themeColor="background2"/>
          <w:insideV w:val="single" w:sz="2" w:space="0" w:color="A6ACA9" w:themeColor="background2"/>
        </w:tblBorders>
        <w:tblLook w:val="0420" w:firstRow="1" w:lastRow="0" w:firstColumn="0" w:lastColumn="0" w:noHBand="0" w:noVBand="1"/>
      </w:tblPr>
      <w:tblGrid>
        <w:gridCol w:w="8077"/>
        <w:gridCol w:w="1701"/>
      </w:tblGrid>
      <w:tr w:rsidR="003A5D0D" w:rsidRPr="00232395" w14:paraId="0F60A583" w14:textId="77777777" w:rsidTr="00DA209E">
        <w:trPr>
          <w:trHeight w:val="482"/>
        </w:trPr>
        <w:tc>
          <w:tcPr>
            <w:tcW w:w="8077" w:type="dxa"/>
            <w:shd w:val="clear" w:color="auto" w:fill="009FE3" w:themeFill="accent4"/>
            <w:vAlign w:val="center"/>
          </w:tcPr>
          <w:p w14:paraId="567CB657" w14:textId="615DD951" w:rsidR="003A5D0D" w:rsidRPr="00232395" w:rsidRDefault="002666DA" w:rsidP="00DA209E">
            <w:pP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7.</w:t>
            </w:r>
            <w:r w:rsidR="003A5D0D"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 xml:space="preserve"> </w:t>
            </w:r>
            <w:r w:rsidR="003A5BE1"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Biomethane Investor Workshops</w:t>
            </w:r>
          </w:p>
        </w:tc>
        <w:tc>
          <w:tcPr>
            <w:tcW w:w="1701" w:type="dxa"/>
            <w:shd w:val="clear" w:color="auto" w:fill="009FE3" w:themeFill="accent4"/>
            <w:vAlign w:val="center"/>
          </w:tcPr>
          <w:p w14:paraId="096C00A0" w14:textId="2D662C6A" w:rsidR="003A5D0D" w:rsidRPr="00232395" w:rsidRDefault="00046429" w:rsidP="00DA209E">
            <w:pPr>
              <w:jc w:val="center"/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EB</w:t>
            </w:r>
          </w:p>
        </w:tc>
      </w:tr>
      <w:tr w:rsidR="003A5D0D" w14:paraId="4B18E099" w14:textId="77777777" w:rsidTr="00DA209E">
        <w:trPr>
          <w:trHeight w:val="482"/>
        </w:trPr>
        <w:tc>
          <w:tcPr>
            <w:tcW w:w="9778" w:type="dxa"/>
            <w:gridSpan w:val="2"/>
            <w:shd w:val="clear" w:color="auto" w:fill="E1F6FF"/>
            <w:vAlign w:val="center"/>
          </w:tcPr>
          <w:p w14:paraId="44D1AFD8" w14:textId="5E45FC77" w:rsidR="00172BC2" w:rsidRDefault="009C41C4" w:rsidP="00DA209E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 xml:space="preserve">EB updated that </w:t>
            </w:r>
            <w:r w:rsidR="00172BC2">
              <w:rPr>
                <w:rFonts w:cs="Tahoma"/>
                <w:bCs/>
                <w:szCs w:val="20"/>
                <w:lang w:eastAsia="en-US"/>
              </w:rPr>
              <w:t>Tim Charters</w:t>
            </w:r>
            <w:r>
              <w:rPr>
                <w:rFonts w:cs="Tahoma"/>
                <w:bCs/>
                <w:szCs w:val="20"/>
                <w:lang w:eastAsia="en-US"/>
              </w:rPr>
              <w:t>, the group’s previous contact in DESNZ,</w:t>
            </w:r>
            <w:r w:rsidR="00172BC2">
              <w:rPr>
                <w:rFonts w:cs="Tahoma"/>
                <w:bCs/>
                <w:szCs w:val="20"/>
                <w:lang w:eastAsia="en-US"/>
              </w:rPr>
              <w:t xml:space="preserve"> ha</w:t>
            </w:r>
            <w:r>
              <w:rPr>
                <w:rFonts w:cs="Tahoma"/>
                <w:bCs/>
                <w:szCs w:val="20"/>
                <w:lang w:eastAsia="en-US"/>
              </w:rPr>
              <w:t>d</w:t>
            </w:r>
            <w:r w:rsidR="00172BC2">
              <w:rPr>
                <w:rFonts w:cs="Tahoma"/>
                <w:bCs/>
                <w:szCs w:val="20"/>
                <w:lang w:eastAsia="en-US"/>
              </w:rPr>
              <w:t xml:space="preserve"> </w:t>
            </w:r>
            <w:r>
              <w:rPr>
                <w:rFonts w:cs="Tahoma"/>
                <w:bCs/>
                <w:szCs w:val="20"/>
                <w:lang w:eastAsia="en-US"/>
              </w:rPr>
              <w:t>left and passed over</w:t>
            </w:r>
            <w:r w:rsidR="00535349">
              <w:rPr>
                <w:rFonts w:cs="Tahoma"/>
                <w:bCs/>
                <w:szCs w:val="20"/>
                <w:lang w:eastAsia="en-US"/>
              </w:rPr>
              <w:t xml:space="preserve"> contact</w:t>
            </w:r>
            <w:r>
              <w:rPr>
                <w:rFonts w:cs="Tahoma"/>
                <w:bCs/>
                <w:szCs w:val="20"/>
                <w:lang w:eastAsia="en-US"/>
              </w:rPr>
              <w:t xml:space="preserve"> to one of his colleagues. The next steps were to </w:t>
            </w:r>
            <w:r w:rsidR="00172BC2">
              <w:rPr>
                <w:rFonts w:cs="Tahoma"/>
                <w:bCs/>
                <w:szCs w:val="20"/>
                <w:lang w:eastAsia="en-US"/>
              </w:rPr>
              <w:t xml:space="preserve">pick </w:t>
            </w:r>
            <w:r>
              <w:rPr>
                <w:rFonts w:cs="Tahoma"/>
                <w:bCs/>
                <w:szCs w:val="20"/>
                <w:lang w:eastAsia="en-US"/>
              </w:rPr>
              <w:t xml:space="preserve">up the Investor Workshops </w:t>
            </w:r>
            <w:r w:rsidR="00172BC2">
              <w:rPr>
                <w:rFonts w:cs="Tahoma"/>
                <w:bCs/>
                <w:szCs w:val="20"/>
                <w:lang w:eastAsia="en-US"/>
              </w:rPr>
              <w:t>with her</w:t>
            </w:r>
            <w:r>
              <w:rPr>
                <w:rFonts w:cs="Tahoma"/>
                <w:bCs/>
                <w:szCs w:val="20"/>
                <w:lang w:eastAsia="en-US"/>
              </w:rPr>
              <w:t xml:space="preserve"> and </w:t>
            </w:r>
            <w:r w:rsidR="00703AD0">
              <w:rPr>
                <w:rFonts w:cs="Tahoma"/>
                <w:bCs/>
                <w:szCs w:val="20"/>
                <w:lang w:eastAsia="en-US"/>
              </w:rPr>
              <w:t>set up a face</w:t>
            </w:r>
            <w:r>
              <w:rPr>
                <w:rFonts w:cs="Tahoma"/>
                <w:bCs/>
                <w:szCs w:val="20"/>
                <w:lang w:eastAsia="en-US"/>
              </w:rPr>
              <w:t>-</w:t>
            </w:r>
            <w:r w:rsidR="00703AD0">
              <w:rPr>
                <w:rFonts w:cs="Tahoma"/>
                <w:bCs/>
                <w:szCs w:val="20"/>
                <w:lang w:eastAsia="en-US"/>
              </w:rPr>
              <w:t>to</w:t>
            </w:r>
            <w:r>
              <w:rPr>
                <w:rFonts w:cs="Tahoma"/>
                <w:bCs/>
                <w:szCs w:val="20"/>
                <w:lang w:eastAsia="en-US"/>
              </w:rPr>
              <w:t>-</w:t>
            </w:r>
            <w:r w:rsidR="00703AD0">
              <w:rPr>
                <w:rFonts w:cs="Tahoma"/>
                <w:bCs/>
                <w:szCs w:val="20"/>
                <w:lang w:eastAsia="en-US"/>
              </w:rPr>
              <w:t>face following the</w:t>
            </w:r>
            <w:r>
              <w:rPr>
                <w:rFonts w:cs="Tahoma"/>
                <w:bCs/>
                <w:szCs w:val="20"/>
                <w:lang w:eastAsia="en-US"/>
              </w:rPr>
              <w:t xml:space="preserve"> GGSS Mi</w:t>
            </w:r>
            <w:r w:rsidR="00703AD0">
              <w:rPr>
                <w:rFonts w:cs="Tahoma"/>
                <w:bCs/>
                <w:szCs w:val="20"/>
                <w:lang w:eastAsia="en-US"/>
              </w:rPr>
              <w:t>d</w:t>
            </w:r>
            <w:r>
              <w:rPr>
                <w:rFonts w:cs="Tahoma"/>
                <w:bCs/>
                <w:szCs w:val="20"/>
                <w:lang w:eastAsia="en-US"/>
              </w:rPr>
              <w:t>-S</w:t>
            </w:r>
            <w:r w:rsidR="00703AD0">
              <w:rPr>
                <w:rFonts w:cs="Tahoma"/>
                <w:bCs/>
                <w:szCs w:val="20"/>
                <w:lang w:eastAsia="en-US"/>
              </w:rPr>
              <w:t xml:space="preserve">cheme </w:t>
            </w:r>
            <w:r>
              <w:rPr>
                <w:rFonts w:cs="Tahoma"/>
                <w:bCs/>
                <w:szCs w:val="20"/>
                <w:lang w:eastAsia="en-US"/>
              </w:rPr>
              <w:t>R</w:t>
            </w:r>
            <w:r w:rsidR="00703AD0">
              <w:rPr>
                <w:rFonts w:cs="Tahoma"/>
                <w:bCs/>
                <w:szCs w:val="20"/>
                <w:lang w:eastAsia="en-US"/>
              </w:rPr>
              <w:t>eview.</w:t>
            </w:r>
          </w:p>
          <w:p w14:paraId="0F621E6F" w14:textId="5A131D8F" w:rsidR="00444DD1" w:rsidRPr="008F07F4" w:rsidRDefault="00444DD1" w:rsidP="00DA209E">
            <w:pPr>
              <w:rPr>
                <w:rFonts w:cs="Tahoma"/>
                <w:b/>
                <w:szCs w:val="20"/>
                <w:lang w:eastAsia="en-US"/>
              </w:rPr>
            </w:pPr>
            <w:r>
              <w:rPr>
                <w:rFonts w:cs="Tahoma"/>
                <w:b/>
                <w:szCs w:val="20"/>
                <w:lang w:eastAsia="en-US"/>
              </w:rPr>
              <w:t xml:space="preserve">Action: </w:t>
            </w:r>
            <w:r w:rsidRPr="00300BFB">
              <w:rPr>
                <w:rFonts w:cs="Tahoma"/>
                <w:b/>
                <w:szCs w:val="20"/>
                <w:lang w:eastAsia="en-US"/>
              </w:rPr>
              <w:t xml:space="preserve">EB </w:t>
            </w:r>
            <w:r>
              <w:rPr>
                <w:rFonts w:cs="Tahoma"/>
                <w:b/>
                <w:szCs w:val="20"/>
                <w:lang w:eastAsia="en-US"/>
              </w:rPr>
              <w:t>to set up a</w:t>
            </w:r>
            <w:r w:rsidRPr="00300BFB">
              <w:rPr>
                <w:rFonts w:cs="Tahoma"/>
                <w:b/>
                <w:szCs w:val="20"/>
                <w:lang w:eastAsia="en-US"/>
              </w:rPr>
              <w:t xml:space="preserve"> DESNZ</w:t>
            </w:r>
            <w:r>
              <w:rPr>
                <w:rFonts w:cs="Tahoma"/>
                <w:b/>
                <w:szCs w:val="20"/>
                <w:lang w:eastAsia="en-US"/>
              </w:rPr>
              <w:t>-</w:t>
            </w:r>
            <w:r w:rsidRPr="00300BFB">
              <w:rPr>
                <w:rFonts w:cs="Tahoma"/>
                <w:b/>
                <w:szCs w:val="20"/>
                <w:lang w:eastAsia="en-US"/>
              </w:rPr>
              <w:t>GDN Catch</w:t>
            </w:r>
            <w:r>
              <w:rPr>
                <w:rFonts w:cs="Tahoma"/>
                <w:b/>
                <w:szCs w:val="20"/>
                <w:lang w:eastAsia="en-US"/>
              </w:rPr>
              <w:t>-U</w:t>
            </w:r>
            <w:r w:rsidRPr="00300BFB">
              <w:rPr>
                <w:rFonts w:cs="Tahoma"/>
                <w:b/>
                <w:szCs w:val="20"/>
                <w:lang w:eastAsia="en-US"/>
              </w:rPr>
              <w:t>p</w:t>
            </w:r>
            <w:r>
              <w:rPr>
                <w:rFonts w:cs="Tahoma"/>
                <w:b/>
                <w:szCs w:val="20"/>
                <w:lang w:eastAsia="en-US"/>
              </w:rPr>
              <w:t>.</w:t>
            </w:r>
          </w:p>
          <w:p w14:paraId="4B2F5728" w14:textId="69F04813" w:rsidR="00E341FE" w:rsidRDefault="00E341FE" w:rsidP="00DA209E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bCs/>
              </w:rPr>
              <w:t xml:space="preserve">EB </w:t>
            </w:r>
            <w:r w:rsidR="00535349">
              <w:rPr>
                <w:bCs/>
              </w:rPr>
              <w:t xml:space="preserve">also </w:t>
            </w:r>
            <w:r>
              <w:rPr>
                <w:bCs/>
              </w:rPr>
              <w:t xml:space="preserve">suggested a deep dive on “smoother connections and turnaround times”, as this topic had also been raised at the Investor Workshop without </w:t>
            </w:r>
            <w:r w:rsidR="006D61A2">
              <w:rPr>
                <w:bCs/>
              </w:rPr>
              <w:t xml:space="preserve">much </w:t>
            </w:r>
            <w:r>
              <w:rPr>
                <w:bCs/>
              </w:rPr>
              <w:t>elaboration.</w:t>
            </w:r>
          </w:p>
          <w:p w14:paraId="09BA4C97" w14:textId="5DED72CF" w:rsidR="00300BFB" w:rsidRPr="00E341FE" w:rsidRDefault="00502505" w:rsidP="00E43666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RB identified propanation as an</w:t>
            </w:r>
            <w:r w:rsidR="00E341FE">
              <w:rPr>
                <w:rFonts w:cs="Tahoma"/>
                <w:bCs/>
                <w:szCs w:val="20"/>
                <w:lang w:eastAsia="en-US"/>
              </w:rPr>
              <w:t>other</w:t>
            </w:r>
            <w:r>
              <w:rPr>
                <w:rFonts w:cs="Tahoma"/>
                <w:bCs/>
                <w:szCs w:val="20"/>
                <w:lang w:eastAsia="en-US"/>
              </w:rPr>
              <w:t xml:space="preserve"> issue arising from the stakeholder survey which was not being addressed by the forum</w:t>
            </w:r>
            <w:r w:rsidR="007D11B2">
              <w:rPr>
                <w:rFonts w:cs="Tahoma"/>
                <w:bCs/>
                <w:szCs w:val="20"/>
                <w:lang w:eastAsia="en-US"/>
              </w:rPr>
              <w:t xml:space="preserve">. MR </w:t>
            </w:r>
            <w:r w:rsidR="00377B5A">
              <w:rPr>
                <w:rFonts w:cs="Tahoma"/>
                <w:bCs/>
                <w:szCs w:val="20"/>
                <w:lang w:eastAsia="en-US"/>
              </w:rPr>
              <w:t>explained that</w:t>
            </w:r>
            <w:r w:rsidR="007D543D">
              <w:rPr>
                <w:rFonts w:cs="Tahoma"/>
                <w:bCs/>
                <w:szCs w:val="20"/>
                <w:lang w:eastAsia="en-US"/>
              </w:rPr>
              <w:t>, following a deep dive by the Technical Working Group,</w:t>
            </w:r>
            <w:r w:rsidR="00377B5A">
              <w:rPr>
                <w:rFonts w:cs="Tahoma"/>
                <w:bCs/>
                <w:szCs w:val="20"/>
                <w:lang w:eastAsia="en-US"/>
              </w:rPr>
              <w:t xml:space="preserve"> </w:t>
            </w:r>
            <w:r w:rsidR="00991036">
              <w:rPr>
                <w:rFonts w:cs="Tahoma"/>
                <w:bCs/>
                <w:szCs w:val="20"/>
                <w:lang w:eastAsia="en-US"/>
              </w:rPr>
              <w:t>more information-gathering</w:t>
            </w:r>
            <w:r>
              <w:rPr>
                <w:rFonts w:cs="Tahoma"/>
                <w:bCs/>
                <w:szCs w:val="20"/>
                <w:lang w:eastAsia="en-US"/>
              </w:rPr>
              <w:t xml:space="preserve"> was being carried out to address issues relating to propane contamination (sitting with CS and BO), </w:t>
            </w:r>
            <w:r w:rsidR="00377B5A">
              <w:rPr>
                <w:rFonts w:cs="Tahoma"/>
                <w:bCs/>
                <w:szCs w:val="20"/>
                <w:lang w:eastAsia="en-US"/>
              </w:rPr>
              <w:t>and JM explained that Cadent’s blending proposal would go some way</w:t>
            </w:r>
            <w:r w:rsidR="007D543D">
              <w:rPr>
                <w:rFonts w:cs="Tahoma"/>
                <w:bCs/>
                <w:szCs w:val="20"/>
                <w:lang w:eastAsia="en-US"/>
              </w:rPr>
              <w:t xml:space="preserve"> to reducing the amount of propanation required</w:t>
            </w:r>
            <w:r w:rsidR="00991036">
              <w:rPr>
                <w:rFonts w:cs="Tahoma"/>
                <w:bCs/>
                <w:szCs w:val="20"/>
                <w:lang w:eastAsia="en-US"/>
              </w:rPr>
              <w:t xml:space="preserve"> (however, work was not being done to </w:t>
            </w:r>
            <w:r w:rsidR="00E341FE">
              <w:rPr>
                <w:rFonts w:cs="Tahoma"/>
                <w:bCs/>
                <w:szCs w:val="20"/>
                <w:lang w:eastAsia="en-US"/>
              </w:rPr>
              <w:t>address</w:t>
            </w:r>
            <w:r w:rsidR="00991036">
              <w:rPr>
                <w:rFonts w:cs="Tahoma"/>
                <w:bCs/>
                <w:szCs w:val="20"/>
                <w:lang w:eastAsia="en-US"/>
              </w:rPr>
              <w:t xml:space="preserve"> the 7</w:t>
            </w:r>
            <w:r w:rsidR="008F07F4">
              <w:rPr>
                <w:rFonts w:cs="Tahoma"/>
                <w:bCs/>
                <w:szCs w:val="20"/>
                <w:lang w:eastAsia="en-US"/>
              </w:rPr>
              <w:t>-8</w:t>
            </w:r>
            <w:r w:rsidR="00991036">
              <w:rPr>
                <w:rFonts w:cs="Tahoma"/>
                <w:bCs/>
                <w:szCs w:val="20"/>
                <w:lang w:eastAsia="en-US"/>
              </w:rPr>
              <w:t xml:space="preserve">% </w:t>
            </w:r>
            <w:r w:rsidR="008F07F4">
              <w:rPr>
                <w:rFonts w:cs="Tahoma"/>
                <w:bCs/>
                <w:szCs w:val="20"/>
                <w:lang w:eastAsia="en-US"/>
              </w:rPr>
              <w:t>directive limit</w:t>
            </w:r>
            <w:r w:rsidR="006D61A2">
              <w:rPr>
                <w:rFonts w:cs="Tahoma"/>
                <w:bCs/>
                <w:szCs w:val="20"/>
                <w:lang w:eastAsia="en-US"/>
              </w:rPr>
              <w:t xml:space="preserve"> itself</w:t>
            </w:r>
            <w:r w:rsidR="008F07F4">
              <w:rPr>
                <w:rFonts w:cs="Tahoma"/>
                <w:bCs/>
                <w:szCs w:val="20"/>
                <w:lang w:eastAsia="en-US"/>
              </w:rPr>
              <w:t>).</w:t>
            </w:r>
          </w:p>
        </w:tc>
      </w:tr>
    </w:tbl>
    <w:p w14:paraId="1E09571B" w14:textId="77777777" w:rsidR="006D61A2" w:rsidRPr="006D61A2" w:rsidRDefault="006D61A2" w:rsidP="006D61A2"/>
    <w:sectPr w:rsidR="006D61A2" w:rsidRPr="006D61A2" w:rsidSect="00F47EC4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2835" w:right="3232" w:bottom="2835" w:left="102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7D19" w14:textId="77777777" w:rsidR="00B81190" w:rsidRDefault="00B81190" w:rsidP="00297315">
      <w:r>
        <w:separator/>
      </w:r>
    </w:p>
  </w:endnote>
  <w:endnote w:type="continuationSeparator" w:id="0">
    <w:p w14:paraId="30BDAFC1" w14:textId="77777777" w:rsidR="00B81190" w:rsidRDefault="00B81190" w:rsidP="0029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535E0" w14:textId="032042B7" w:rsidR="00366250" w:rsidRPr="006A26C3" w:rsidRDefault="00D701A7" w:rsidP="00366250">
    <w:pPr>
      <w:pStyle w:val="Footer"/>
      <w:ind w:right="-2559"/>
      <w:jc w:val="right"/>
      <w:rPr>
        <w:rFonts w:cs="Arial"/>
        <w:sz w:val="16"/>
        <w:szCs w:val="16"/>
      </w:rPr>
    </w:pPr>
    <w:r>
      <w:rPr>
        <w:rFonts w:cs="Arial"/>
        <w:color w:val="00598E" w:themeColor="text2"/>
        <w:sz w:val="16"/>
        <w:szCs w:val="16"/>
      </w:rPr>
      <w:t>Meeting Minutes</w:t>
    </w:r>
    <w:r w:rsidR="00493087" w:rsidRPr="005D5FC0">
      <w:rPr>
        <w:rFonts w:cs="Arial"/>
        <w:color w:val="00598E" w:themeColor="text2"/>
        <w:sz w:val="16"/>
        <w:szCs w:val="16"/>
      </w:rPr>
      <w:t xml:space="preserve"> </w:t>
    </w:r>
    <w:r w:rsidR="00493087" w:rsidRPr="005D5FC0">
      <w:rPr>
        <w:rFonts w:cs="Arial"/>
        <w:color w:val="FF7232" w:themeColor="accent3"/>
        <w:sz w:val="16"/>
        <w:szCs w:val="16"/>
      </w:rPr>
      <w:t>│</w:t>
    </w:r>
    <w:r w:rsidR="00366250" w:rsidRPr="005D5FC0">
      <w:rPr>
        <w:rFonts w:cs="Arial"/>
        <w:color w:val="00598E" w:themeColor="text2"/>
        <w:sz w:val="16"/>
        <w:szCs w:val="16"/>
      </w:rPr>
      <w:t xml:space="preserve"> </w:t>
    </w:r>
    <w:r w:rsidR="00BE465E" w:rsidRPr="00BE465E">
      <w:rPr>
        <w:rFonts w:cs="Arial"/>
        <w:color w:val="00598E" w:themeColor="text2"/>
        <w:sz w:val="16"/>
        <w:szCs w:val="16"/>
      </w:rPr>
      <w:fldChar w:fldCharType="begin"/>
    </w:r>
    <w:r w:rsidR="00BE465E" w:rsidRPr="00BE465E">
      <w:rPr>
        <w:rFonts w:cs="Arial"/>
        <w:color w:val="00598E" w:themeColor="text2"/>
        <w:sz w:val="16"/>
        <w:szCs w:val="16"/>
      </w:rPr>
      <w:instrText xml:space="preserve"> PAGE   \* MERGEFORMAT </w:instrText>
    </w:r>
    <w:r w:rsidR="00BE465E" w:rsidRPr="00BE465E">
      <w:rPr>
        <w:rFonts w:cs="Arial"/>
        <w:color w:val="00598E" w:themeColor="text2"/>
        <w:sz w:val="16"/>
        <w:szCs w:val="16"/>
      </w:rPr>
      <w:fldChar w:fldCharType="separate"/>
    </w:r>
    <w:r w:rsidR="00BE465E" w:rsidRPr="00BE465E">
      <w:rPr>
        <w:rFonts w:cs="Arial"/>
        <w:noProof/>
        <w:color w:val="00598E" w:themeColor="text2"/>
        <w:sz w:val="16"/>
        <w:szCs w:val="16"/>
      </w:rPr>
      <w:t>1</w:t>
    </w:r>
    <w:r w:rsidR="00BE465E" w:rsidRPr="00BE465E">
      <w:rPr>
        <w:rFonts w:cs="Arial"/>
        <w:noProof/>
        <w:color w:val="00598E" w:themeColor="text2"/>
        <w:sz w:val="16"/>
        <w:szCs w:val="16"/>
      </w:rPr>
      <w:fldChar w:fldCharType="end"/>
    </w:r>
    <w:r w:rsidR="00366250" w:rsidRPr="006A26C3">
      <w:rPr>
        <w:rFonts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 wp14:anchorId="6620DF63" wp14:editId="1626D37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446040"/>
          <wp:effectExtent l="0" t="0" r="3175" b="1905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A-continuation-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6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8322" w14:textId="035EFBE7" w:rsidR="00F47EC4" w:rsidRDefault="00F47EC4">
    <w:pPr>
      <w:pStyle w:val="Foot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6DF271B5" wp14:editId="145E75EB">
          <wp:simplePos x="0" y="0"/>
          <wp:positionH relativeFrom="page">
            <wp:posOffset>-6350</wp:posOffset>
          </wp:positionH>
          <wp:positionV relativeFrom="page">
            <wp:posOffset>9258300</wp:posOffset>
          </wp:positionV>
          <wp:extent cx="7560000" cy="1446040"/>
          <wp:effectExtent l="0" t="0" r="3175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A-letterhead-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6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45C93" w14:textId="77777777" w:rsidR="00B81190" w:rsidRDefault="00B81190" w:rsidP="00297315">
      <w:r>
        <w:separator/>
      </w:r>
    </w:p>
  </w:footnote>
  <w:footnote w:type="continuationSeparator" w:id="0">
    <w:p w14:paraId="6F08B08E" w14:textId="77777777" w:rsidR="00B81190" w:rsidRDefault="00B81190" w:rsidP="00297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0995" w14:textId="77777777" w:rsidR="00F47EC4" w:rsidRDefault="00F47EC4" w:rsidP="00F47EC4">
    <w:pPr>
      <w:spacing w:before="0" w:after="0"/>
      <w:ind w:hanging="425"/>
      <w:rPr>
        <w:b/>
        <w:bCs/>
        <w:color w:val="00598E" w:themeColor="text2"/>
        <w:sz w:val="16"/>
        <w:szCs w:val="16"/>
      </w:rPr>
    </w:pPr>
  </w:p>
  <w:p w14:paraId="66EEB3A9" w14:textId="77777777" w:rsidR="00F47EC4" w:rsidRDefault="00F47EC4" w:rsidP="00F47EC4">
    <w:pPr>
      <w:spacing w:before="0" w:after="0"/>
      <w:ind w:hanging="425"/>
      <w:rPr>
        <w:b/>
        <w:bCs/>
        <w:color w:val="00598E" w:themeColor="text2"/>
        <w:sz w:val="16"/>
        <w:szCs w:val="16"/>
      </w:rPr>
    </w:pPr>
  </w:p>
  <w:p w14:paraId="3E053302" w14:textId="77777777" w:rsidR="00F47EC4" w:rsidRDefault="00F47EC4" w:rsidP="00F47EC4">
    <w:pPr>
      <w:spacing w:before="0" w:after="0"/>
      <w:ind w:hanging="425"/>
      <w:rPr>
        <w:b/>
        <w:bCs/>
        <w:color w:val="00598E" w:themeColor="text2"/>
        <w:sz w:val="16"/>
        <w:szCs w:val="16"/>
      </w:rPr>
    </w:pPr>
  </w:p>
  <w:p w14:paraId="5FC7B842" w14:textId="77777777" w:rsidR="003C33AF" w:rsidRDefault="003C33AF" w:rsidP="00F47EC4">
    <w:pPr>
      <w:spacing w:before="0" w:after="0"/>
      <w:ind w:hanging="425"/>
      <w:rPr>
        <w:b/>
        <w:bCs/>
        <w:color w:val="00598E" w:themeColor="text2"/>
        <w:sz w:val="16"/>
        <w:szCs w:val="16"/>
      </w:rPr>
    </w:pPr>
  </w:p>
  <w:p w14:paraId="2BC73FA6" w14:textId="77777777" w:rsidR="000050A1" w:rsidRPr="005D5FC0" w:rsidRDefault="00D63A7A" w:rsidP="000050A1">
    <w:pPr>
      <w:pStyle w:val="HeaderText"/>
    </w:pPr>
    <w:r>
      <w:fldChar w:fldCharType="begin"/>
    </w:r>
    <w:r>
      <w:instrText xml:space="preserve"> REF TitleOfCommittee  \* MERGEFORMAT </w:instrText>
    </w:r>
    <w:r>
      <w:fldChar w:fldCharType="separate"/>
    </w:r>
    <w:r w:rsidR="000050A1">
      <w:t>Entry Customer Forum</w:t>
    </w:r>
  </w:p>
  <w:p w14:paraId="6815C982" w14:textId="5108A266" w:rsidR="00F47EC4" w:rsidRPr="00F47EC4" w:rsidRDefault="00D63A7A" w:rsidP="00D63A7A">
    <w:pPr>
      <w:pStyle w:val="HeaderText"/>
      <w:rPr>
        <w:color w:val="00598E" w:themeColor="text2"/>
      </w:rPr>
    </w:pPr>
    <w:r>
      <w:fldChar w:fldCharType="end"/>
    </w:r>
    <w:r w:rsidR="00F47EC4">
      <w:t>Meeting Minutes</w:t>
    </w:r>
  </w:p>
  <w:p w14:paraId="069B2910" w14:textId="77777777" w:rsidR="000050A1" w:rsidRDefault="00A47862" w:rsidP="000050A1">
    <w:pPr>
      <w:pStyle w:val="HeaderText"/>
    </w:pPr>
    <w:r>
      <w:fldChar w:fldCharType="begin"/>
    </w:r>
    <w:r>
      <w:rPr>
        <w:color w:val="00598E" w:themeColor="text2"/>
      </w:rPr>
      <w:instrText xml:space="preserve"> REF DateTime \h </w:instrText>
    </w:r>
    <w:r>
      <w:instrText xml:space="preserve"> \* MERGEFORMAT </w:instrText>
    </w:r>
    <w:r>
      <w:fldChar w:fldCharType="separate"/>
    </w:r>
    <w:r w:rsidR="000050A1">
      <w:t>Tuesday 28</w:t>
    </w:r>
    <w:r w:rsidR="000050A1" w:rsidRPr="003C060A">
      <w:t xml:space="preserve"> </w:t>
    </w:r>
    <w:r w:rsidR="000050A1">
      <w:t>March</w:t>
    </w:r>
    <w:r w:rsidR="000050A1" w:rsidRPr="003C060A">
      <w:t xml:space="preserve"> 202</w:t>
    </w:r>
    <w:r w:rsidR="000050A1">
      <w:t>3</w:t>
    </w:r>
    <w:r w:rsidR="000050A1" w:rsidRPr="003C060A">
      <w:t xml:space="preserve"> at 1</w:t>
    </w:r>
    <w:r w:rsidR="000050A1">
      <w:t>2</w:t>
    </w:r>
    <w:r w:rsidR="000050A1" w:rsidRPr="003C060A">
      <w:t>.</w:t>
    </w:r>
    <w:r w:rsidR="000050A1">
      <w:t>30PM</w:t>
    </w:r>
    <w:r w:rsidR="000050A1" w:rsidRPr="003C060A">
      <w:t xml:space="preserve"> – </w:t>
    </w:r>
    <w:r w:rsidR="000050A1">
      <w:t>2.00PM</w:t>
    </w:r>
  </w:p>
  <w:p w14:paraId="109653B7" w14:textId="6EF1070E" w:rsidR="00F47EC4" w:rsidRPr="00F47EC4" w:rsidRDefault="00A47862" w:rsidP="00F47EC4">
    <w:pPr>
      <w:spacing w:before="0" w:after="0"/>
      <w:ind w:hanging="425"/>
      <w:rPr>
        <w:color w:val="00598E" w:themeColor="text2"/>
        <w:sz w:val="16"/>
        <w:szCs w:val="16"/>
      </w:rPr>
    </w:pPr>
    <w:r>
      <w:rPr>
        <w:color w:val="4378A8" w:themeColor="accent2"/>
        <w:sz w:val="16"/>
        <w:szCs w:val="16"/>
      </w:rPr>
      <w:fldChar w:fldCharType="end"/>
    </w:r>
    <w:r w:rsidR="00F47EC4">
      <w:rPr>
        <w:noProof/>
      </w:rPr>
      <w:drawing>
        <wp:anchor distT="0" distB="0" distL="114300" distR="114300" simplePos="0" relativeHeight="251671552" behindDoc="1" locked="0" layoutInCell="1" allowOverlap="1" wp14:anchorId="6722640E" wp14:editId="2BDB4865">
          <wp:simplePos x="0" y="0"/>
          <wp:positionH relativeFrom="page">
            <wp:posOffset>6350</wp:posOffset>
          </wp:positionH>
          <wp:positionV relativeFrom="page">
            <wp:posOffset>0</wp:posOffset>
          </wp:positionV>
          <wp:extent cx="7560000" cy="1447200"/>
          <wp:effectExtent l="0" t="0" r="317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A-letterhead-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1D4DF" w14:textId="779BD8DD" w:rsidR="00F47EC4" w:rsidRDefault="00F47EC4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1ABB2A1C" wp14:editId="0383F00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447200"/>
          <wp:effectExtent l="0" t="0" r="3175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A-letterhead-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628E"/>
    <w:multiLevelType w:val="hybridMultilevel"/>
    <w:tmpl w:val="733056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F1AB2"/>
    <w:multiLevelType w:val="hybridMultilevel"/>
    <w:tmpl w:val="7AD016B6"/>
    <w:lvl w:ilvl="0" w:tplc="2EC0DA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535AF"/>
    <w:multiLevelType w:val="hybridMultilevel"/>
    <w:tmpl w:val="8FA2CB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7B7E61"/>
    <w:multiLevelType w:val="hybridMultilevel"/>
    <w:tmpl w:val="28860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F3582"/>
    <w:multiLevelType w:val="hybridMultilevel"/>
    <w:tmpl w:val="F3500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E33D4"/>
    <w:multiLevelType w:val="hybridMultilevel"/>
    <w:tmpl w:val="25CC6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834E3"/>
    <w:multiLevelType w:val="hybridMultilevel"/>
    <w:tmpl w:val="347AAE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E4A73"/>
    <w:multiLevelType w:val="hybridMultilevel"/>
    <w:tmpl w:val="B28073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AA7A11"/>
    <w:multiLevelType w:val="hybridMultilevel"/>
    <w:tmpl w:val="808AD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1530A"/>
    <w:multiLevelType w:val="hybridMultilevel"/>
    <w:tmpl w:val="5B4A8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F5CF1"/>
    <w:multiLevelType w:val="hybridMultilevel"/>
    <w:tmpl w:val="A61C1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375C2"/>
    <w:multiLevelType w:val="hybridMultilevel"/>
    <w:tmpl w:val="1C288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10E52"/>
    <w:multiLevelType w:val="hybridMultilevel"/>
    <w:tmpl w:val="041E2D32"/>
    <w:lvl w:ilvl="0" w:tplc="2EC0DA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84962"/>
    <w:multiLevelType w:val="hybridMultilevel"/>
    <w:tmpl w:val="07D6F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186645">
    <w:abstractNumId w:val="1"/>
  </w:num>
  <w:num w:numId="2" w16cid:durableId="1532064945">
    <w:abstractNumId w:val="12"/>
  </w:num>
  <w:num w:numId="3" w16cid:durableId="907573219">
    <w:abstractNumId w:val="0"/>
  </w:num>
  <w:num w:numId="4" w16cid:durableId="1862237711">
    <w:abstractNumId w:val="13"/>
  </w:num>
  <w:num w:numId="5" w16cid:durableId="433015849">
    <w:abstractNumId w:val="2"/>
  </w:num>
  <w:num w:numId="6" w16cid:durableId="1658802470">
    <w:abstractNumId w:val="7"/>
  </w:num>
  <w:num w:numId="7" w16cid:durableId="472604258">
    <w:abstractNumId w:val="3"/>
  </w:num>
  <w:num w:numId="8" w16cid:durableId="83235429">
    <w:abstractNumId w:val="4"/>
  </w:num>
  <w:num w:numId="9" w16cid:durableId="1831600868">
    <w:abstractNumId w:val="10"/>
  </w:num>
  <w:num w:numId="10" w16cid:durableId="1066799595">
    <w:abstractNumId w:val="5"/>
  </w:num>
  <w:num w:numId="11" w16cid:durableId="567493777">
    <w:abstractNumId w:val="9"/>
  </w:num>
  <w:num w:numId="12" w16cid:durableId="144514270">
    <w:abstractNumId w:val="6"/>
  </w:num>
  <w:num w:numId="13" w16cid:durableId="1558978975">
    <w:abstractNumId w:val="11"/>
  </w:num>
  <w:num w:numId="14" w16cid:durableId="11110501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50"/>
    <w:rsid w:val="000011B2"/>
    <w:rsid w:val="000050A1"/>
    <w:rsid w:val="00005885"/>
    <w:rsid w:val="00015F43"/>
    <w:rsid w:val="0001787A"/>
    <w:rsid w:val="00027DC4"/>
    <w:rsid w:val="0003264A"/>
    <w:rsid w:val="00046429"/>
    <w:rsid w:val="00052803"/>
    <w:rsid w:val="00052EEA"/>
    <w:rsid w:val="000611DB"/>
    <w:rsid w:val="00061C45"/>
    <w:rsid w:val="00085009"/>
    <w:rsid w:val="00092C77"/>
    <w:rsid w:val="000B1BE8"/>
    <w:rsid w:val="000C40AB"/>
    <w:rsid w:val="000E1F4B"/>
    <w:rsid w:val="000F19A3"/>
    <w:rsid w:val="000F2C7A"/>
    <w:rsid w:val="00114057"/>
    <w:rsid w:val="0011432D"/>
    <w:rsid w:val="00135126"/>
    <w:rsid w:val="0013615E"/>
    <w:rsid w:val="001437D6"/>
    <w:rsid w:val="00151722"/>
    <w:rsid w:val="00152729"/>
    <w:rsid w:val="00156705"/>
    <w:rsid w:val="00172B50"/>
    <w:rsid w:val="00172BC2"/>
    <w:rsid w:val="00180EF2"/>
    <w:rsid w:val="001820A4"/>
    <w:rsid w:val="001823E1"/>
    <w:rsid w:val="001865E5"/>
    <w:rsid w:val="0018793C"/>
    <w:rsid w:val="00193C85"/>
    <w:rsid w:val="001B09A7"/>
    <w:rsid w:val="001B211E"/>
    <w:rsid w:val="001C5E6C"/>
    <w:rsid w:val="001D0ACA"/>
    <w:rsid w:val="001D3649"/>
    <w:rsid w:val="001D6E0B"/>
    <w:rsid w:val="001E1D16"/>
    <w:rsid w:val="001E3365"/>
    <w:rsid w:val="001E37F0"/>
    <w:rsid w:val="001E66FD"/>
    <w:rsid w:val="001F1424"/>
    <w:rsid w:val="001F5934"/>
    <w:rsid w:val="002034B7"/>
    <w:rsid w:val="00204546"/>
    <w:rsid w:val="0020463B"/>
    <w:rsid w:val="002072E1"/>
    <w:rsid w:val="0021504D"/>
    <w:rsid w:val="0021749F"/>
    <w:rsid w:val="0025424B"/>
    <w:rsid w:val="00255322"/>
    <w:rsid w:val="0026201E"/>
    <w:rsid w:val="00264744"/>
    <w:rsid w:val="0026580E"/>
    <w:rsid w:val="002666DA"/>
    <w:rsid w:val="0027338C"/>
    <w:rsid w:val="0027620B"/>
    <w:rsid w:val="00283C82"/>
    <w:rsid w:val="00295A62"/>
    <w:rsid w:val="00295AB6"/>
    <w:rsid w:val="00297315"/>
    <w:rsid w:val="002A6340"/>
    <w:rsid w:val="002B36E2"/>
    <w:rsid w:val="002C02EC"/>
    <w:rsid w:val="002C6B22"/>
    <w:rsid w:val="002E4EBC"/>
    <w:rsid w:val="00300BFB"/>
    <w:rsid w:val="00302FFC"/>
    <w:rsid w:val="00312B18"/>
    <w:rsid w:val="003415F8"/>
    <w:rsid w:val="00346ABF"/>
    <w:rsid w:val="00350EFB"/>
    <w:rsid w:val="0035610D"/>
    <w:rsid w:val="00366250"/>
    <w:rsid w:val="00373F06"/>
    <w:rsid w:val="00377B5A"/>
    <w:rsid w:val="003805D5"/>
    <w:rsid w:val="00381BE9"/>
    <w:rsid w:val="00392AC5"/>
    <w:rsid w:val="00394347"/>
    <w:rsid w:val="003A5BE1"/>
    <w:rsid w:val="003A5D0D"/>
    <w:rsid w:val="003B7C1D"/>
    <w:rsid w:val="003C060A"/>
    <w:rsid w:val="003C21A5"/>
    <w:rsid w:val="003C2364"/>
    <w:rsid w:val="003C33AF"/>
    <w:rsid w:val="003D171C"/>
    <w:rsid w:val="003D47A2"/>
    <w:rsid w:val="003E1EE2"/>
    <w:rsid w:val="003F1A6A"/>
    <w:rsid w:val="00400C41"/>
    <w:rsid w:val="00404A81"/>
    <w:rsid w:val="00410A21"/>
    <w:rsid w:val="00426C96"/>
    <w:rsid w:val="00442970"/>
    <w:rsid w:val="00444584"/>
    <w:rsid w:val="00444DD1"/>
    <w:rsid w:val="00470BDA"/>
    <w:rsid w:val="00473ABC"/>
    <w:rsid w:val="0047654C"/>
    <w:rsid w:val="00480158"/>
    <w:rsid w:val="0048681D"/>
    <w:rsid w:val="0049286A"/>
    <w:rsid w:val="00493087"/>
    <w:rsid w:val="004A6AFD"/>
    <w:rsid w:val="004B3C57"/>
    <w:rsid w:val="004B68F7"/>
    <w:rsid w:val="004B7F8D"/>
    <w:rsid w:val="004C3800"/>
    <w:rsid w:val="004C47C6"/>
    <w:rsid w:val="004D6284"/>
    <w:rsid w:val="004E4134"/>
    <w:rsid w:val="004E7648"/>
    <w:rsid w:val="004F1E4A"/>
    <w:rsid w:val="004F6385"/>
    <w:rsid w:val="00502301"/>
    <w:rsid w:val="00502505"/>
    <w:rsid w:val="00502E49"/>
    <w:rsid w:val="0050338D"/>
    <w:rsid w:val="005034C3"/>
    <w:rsid w:val="00505E61"/>
    <w:rsid w:val="00514443"/>
    <w:rsid w:val="00521D6D"/>
    <w:rsid w:val="00530ADE"/>
    <w:rsid w:val="00535349"/>
    <w:rsid w:val="00547294"/>
    <w:rsid w:val="00561548"/>
    <w:rsid w:val="00576725"/>
    <w:rsid w:val="005973C6"/>
    <w:rsid w:val="005B2B22"/>
    <w:rsid w:val="005B3C90"/>
    <w:rsid w:val="005B70B4"/>
    <w:rsid w:val="005D04CF"/>
    <w:rsid w:val="005D3EC6"/>
    <w:rsid w:val="005D5FC0"/>
    <w:rsid w:val="00601D00"/>
    <w:rsid w:val="0061692E"/>
    <w:rsid w:val="00617F0E"/>
    <w:rsid w:val="00624B8A"/>
    <w:rsid w:val="006317D7"/>
    <w:rsid w:val="00632AF2"/>
    <w:rsid w:val="00632BB7"/>
    <w:rsid w:val="00664BA8"/>
    <w:rsid w:val="00682146"/>
    <w:rsid w:val="00687053"/>
    <w:rsid w:val="006A26C3"/>
    <w:rsid w:val="006A6AFA"/>
    <w:rsid w:val="006B1EC3"/>
    <w:rsid w:val="006B3135"/>
    <w:rsid w:val="006B7B5E"/>
    <w:rsid w:val="006C0070"/>
    <w:rsid w:val="006C5ADA"/>
    <w:rsid w:val="006D4FE9"/>
    <w:rsid w:val="006D61A2"/>
    <w:rsid w:val="006E7139"/>
    <w:rsid w:val="006F1E1B"/>
    <w:rsid w:val="00703AD0"/>
    <w:rsid w:val="00714504"/>
    <w:rsid w:val="007241B7"/>
    <w:rsid w:val="00734A95"/>
    <w:rsid w:val="00744E71"/>
    <w:rsid w:val="007538F8"/>
    <w:rsid w:val="007617B7"/>
    <w:rsid w:val="00770D2A"/>
    <w:rsid w:val="007733F3"/>
    <w:rsid w:val="00773836"/>
    <w:rsid w:val="007875EF"/>
    <w:rsid w:val="00794B40"/>
    <w:rsid w:val="007A22B9"/>
    <w:rsid w:val="007B6542"/>
    <w:rsid w:val="007B6848"/>
    <w:rsid w:val="007B6DF2"/>
    <w:rsid w:val="007D11B2"/>
    <w:rsid w:val="007D3B74"/>
    <w:rsid w:val="007D543D"/>
    <w:rsid w:val="007E65C0"/>
    <w:rsid w:val="007F379A"/>
    <w:rsid w:val="007F4B09"/>
    <w:rsid w:val="0081133F"/>
    <w:rsid w:val="00833013"/>
    <w:rsid w:val="008479D3"/>
    <w:rsid w:val="00863295"/>
    <w:rsid w:val="008852BE"/>
    <w:rsid w:val="00885C29"/>
    <w:rsid w:val="00886DCD"/>
    <w:rsid w:val="0089531D"/>
    <w:rsid w:val="008A6A65"/>
    <w:rsid w:val="008B1653"/>
    <w:rsid w:val="008B2D22"/>
    <w:rsid w:val="008D72DC"/>
    <w:rsid w:val="008F07F4"/>
    <w:rsid w:val="008F0D03"/>
    <w:rsid w:val="0090086C"/>
    <w:rsid w:val="00902EE9"/>
    <w:rsid w:val="00913AF2"/>
    <w:rsid w:val="009360D3"/>
    <w:rsid w:val="00936CAF"/>
    <w:rsid w:val="0095103E"/>
    <w:rsid w:val="009561ED"/>
    <w:rsid w:val="009655E8"/>
    <w:rsid w:val="00965956"/>
    <w:rsid w:val="00974A82"/>
    <w:rsid w:val="009771FF"/>
    <w:rsid w:val="00991036"/>
    <w:rsid w:val="0099493D"/>
    <w:rsid w:val="009975DC"/>
    <w:rsid w:val="009A2931"/>
    <w:rsid w:val="009A2BBE"/>
    <w:rsid w:val="009A49C7"/>
    <w:rsid w:val="009B0F9A"/>
    <w:rsid w:val="009C0BCD"/>
    <w:rsid w:val="009C0E11"/>
    <w:rsid w:val="009C41C4"/>
    <w:rsid w:val="009D0A91"/>
    <w:rsid w:val="009E41EB"/>
    <w:rsid w:val="009F4F32"/>
    <w:rsid w:val="00A0008B"/>
    <w:rsid w:val="00A13829"/>
    <w:rsid w:val="00A13DD7"/>
    <w:rsid w:val="00A21CC2"/>
    <w:rsid w:val="00A26902"/>
    <w:rsid w:val="00A2744D"/>
    <w:rsid w:val="00A3283A"/>
    <w:rsid w:val="00A33DAC"/>
    <w:rsid w:val="00A34DD8"/>
    <w:rsid w:val="00A459AC"/>
    <w:rsid w:val="00A47862"/>
    <w:rsid w:val="00A55A12"/>
    <w:rsid w:val="00A56BD3"/>
    <w:rsid w:val="00A5736D"/>
    <w:rsid w:val="00A751F3"/>
    <w:rsid w:val="00A87B92"/>
    <w:rsid w:val="00A902AE"/>
    <w:rsid w:val="00A92FF0"/>
    <w:rsid w:val="00AC3D6B"/>
    <w:rsid w:val="00AD467E"/>
    <w:rsid w:val="00AF3859"/>
    <w:rsid w:val="00AF3C29"/>
    <w:rsid w:val="00AF5D13"/>
    <w:rsid w:val="00AF728E"/>
    <w:rsid w:val="00B141F7"/>
    <w:rsid w:val="00B17869"/>
    <w:rsid w:val="00B403AA"/>
    <w:rsid w:val="00B441E4"/>
    <w:rsid w:val="00B71AD8"/>
    <w:rsid w:val="00B74764"/>
    <w:rsid w:val="00B81190"/>
    <w:rsid w:val="00BA4F1C"/>
    <w:rsid w:val="00BB4329"/>
    <w:rsid w:val="00BB52F1"/>
    <w:rsid w:val="00BC7082"/>
    <w:rsid w:val="00BD2A33"/>
    <w:rsid w:val="00BD3B05"/>
    <w:rsid w:val="00BE2E6F"/>
    <w:rsid w:val="00BE465E"/>
    <w:rsid w:val="00BE482D"/>
    <w:rsid w:val="00BE4AF3"/>
    <w:rsid w:val="00BF580F"/>
    <w:rsid w:val="00C005F1"/>
    <w:rsid w:val="00C03DEF"/>
    <w:rsid w:val="00C04A5C"/>
    <w:rsid w:val="00C050A6"/>
    <w:rsid w:val="00C05305"/>
    <w:rsid w:val="00C16270"/>
    <w:rsid w:val="00C16606"/>
    <w:rsid w:val="00C32BCE"/>
    <w:rsid w:val="00C51491"/>
    <w:rsid w:val="00C5587E"/>
    <w:rsid w:val="00C6064C"/>
    <w:rsid w:val="00C61E44"/>
    <w:rsid w:val="00C6399B"/>
    <w:rsid w:val="00C67832"/>
    <w:rsid w:val="00C7465F"/>
    <w:rsid w:val="00C86DA8"/>
    <w:rsid w:val="00C919D2"/>
    <w:rsid w:val="00C91DC8"/>
    <w:rsid w:val="00C93BF4"/>
    <w:rsid w:val="00C972FB"/>
    <w:rsid w:val="00CA21D7"/>
    <w:rsid w:val="00CA5F3A"/>
    <w:rsid w:val="00CB650A"/>
    <w:rsid w:val="00CB7013"/>
    <w:rsid w:val="00CC276F"/>
    <w:rsid w:val="00CC3A37"/>
    <w:rsid w:val="00CD32E5"/>
    <w:rsid w:val="00CD38E9"/>
    <w:rsid w:val="00CD4964"/>
    <w:rsid w:val="00CE64C4"/>
    <w:rsid w:val="00D04B24"/>
    <w:rsid w:val="00D0724B"/>
    <w:rsid w:val="00D23519"/>
    <w:rsid w:val="00D24987"/>
    <w:rsid w:val="00D34903"/>
    <w:rsid w:val="00D44043"/>
    <w:rsid w:val="00D579A4"/>
    <w:rsid w:val="00D63A7A"/>
    <w:rsid w:val="00D701A7"/>
    <w:rsid w:val="00D77C76"/>
    <w:rsid w:val="00D946F4"/>
    <w:rsid w:val="00D97180"/>
    <w:rsid w:val="00D97F11"/>
    <w:rsid w:val="00DA36DD"/>
    <w:rsid w:val="00DB293C"/>
    <w:rsid w:val="00DC28A7"/>
    <w:rsid w:val="00DC50CD"/>
    <w:rsid w:val="00DD7F66"/>
    <w:rsid w:val="00DE5F8E"/>
    <w:rsid w:val="00DF1F34"/>
    <w:rsid w:val="00DF39A6"/>
    <w:rsid w:val="00E057C7"/>
    <w:rsid w:val="00E05966"/>
    <w:rsid w:val="00E1200A"/>
    <w:rsid w:val="00E178EB"/>
    <w:rsid w:val="00E20A34"/>
    <w:rsid w:val="00E21086"/>
    <w:rsid w:val="00E22BE0"/>
    <w:rsid w:val="00E341FE"/>
    <w:rsid w:val="00E346F7"/>
    <w:rsid w:val="00E43666"/>
    <w:rsid w:val="00E45E6B"/>
    <w:rsid w:val="00E47F5A"/>
    <w:rsid w:val="00E51F89"/>
    <w:rsid w:val="00E571E4"/>
    <w:rsid w:val="00E66FDF"/>
    <w:rsid w:val="00E73B68"/>
    <w:rsid w:val="00E74BB3"/>
    <w:rsid w:val="00E800A4"/>
    <w:rsid w:val="00E97CE0"/>
    <w:rsid w:val="00EA0CF0"/>
    <w:rsid w:val="00EA117A"/>
    <w:rsid w:val="00EA43A2"/>
    <w:rsid w:val="00EB1650"/>
    <w:rsid w:val="00EB6A3C"/>
    <w:rsid w:val="00EC5B61"/>
    <w:rsid w:val="00EC7D19"/>
    <w:rsid w:val="00ED61C3"/>
    <w:rsid w:val="00F03609"/>
    <w:rsid w:val="00F11128"/>
    <w:rsid w:val="00F17764"/>
    <w:rsid w:val="00F21D5A"/>
    <w:rsid w:val="00F22918"/>
    <w:rsid w:val="00F23B91"/>
    <w:rsid w:val="00F37A09"/>
    <w:rsid w:val="00F419E7"/>
    <w:rsid w:val="00F4406B"/>
    <w:rsid w:val="00F46CE3"/>
    <w:rsid w:val="00F47EC4"/>
    <w:rsid w:val="00F65CA1"/>
    <w:rsid w:val="00FA11F3"/>
    <w:rsid w:val="00FA657E"/>
    <w:rsid w:val="00FB035C"/>
    <w:rsid w:val="00FB5317"/>
    <w:rsid w:val="00FB5773"/>
    <w:rsid w:val="00FC4D03"/>
    <w:rsid w:val="00FE0A53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F5626"/>
  <w15:chartTrackingRefBased/>
  <w15:docId w15:val="{48DA62AA-8FF7-45D8-8DEB-5FA137E4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725"/>
    <w:pPr>
      <w:spacing w:before="120" w:after="120"/>
    </w:pPr>
    <w:rPr>
      <w:rFonts w:ascii="Arial" w:eastAsia="Times New Roman" w:hAnsi="Arial" w:cs="Times New Roman"/>
      <w:sz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C050A6"/>
    <w:pPr>
      <w:keepNext/>
      <w:keepLines/>
      <w:outlineLvl w:val="0"/>
    </w:pPr>
    <w:rPr>
      <w:rFonts w:asciiTheme="majorHAnsi" w:eastAsiaTheme="majorEastAsia" w:hAnsiTheme="majorHAnsi" w:cstheme="majorBidi"/>
      <w:b/>
      <w:color w:val="484D52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315"/>
  </w:style>
  <w:style w:type="paragraph" w:styleId="Footer">
    <w:name w:val="footer"/>
    <w:basedOn w:val="Normal"/>
    <w:link w:val="FooterChar"/>
    <w:uiPriority w:val="99"/>
    <w:unhideWhenUsed/>
    <w:rsid w:val="00297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315"/>
  </w:style>
  <w:style w:type="paragraph" w:styleId="BalloonText">
    <w:name w:val="Balloon Text"/>
    <w:basedOn w:val="Normal"/>
    <w:link w:val="BalloonTextChar"/>
    <w:uiPriority w:val="99"/>
    <w:semiHidden/>
    <w:unhideWhenUsed/>
    <w:rsid w:val="0029731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15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050A6"/>
    <w:rPr>
      <w:rFonts w:asciiTheme="majorHAnsi" w:eastAsiaTheme="majorEastAsia" w:hAnsiTheme="majorHAnsi" w:cstheme="majorBidi"/>
      <w:b/>
      <w:color w:val="484D52" w:themeColor="text1"/>
      <w:sz w:val="20"/>
      <w:szCs w:val="32"/>
    </w:rPr>
  </w:style>
  <w:style w:type="paragraph" w:customStyle="1" w:styleId="body">
    <w:name w:val="body"/>
    <w:basedOn w:val="Normal"/>
    <w:autoRedefine/>
    <w:rsid w:val="0036625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66250"/>
    <w:pPr>
      <w:ind w:left="720"/>
      <w:contextualSpacing/>
    </w:pPr>
  </w:style>
  <w:style w:type="paragraph" w:customStyle="1" w:styleId="SUBHEADING">
    <w:name w:val="SUBHEADING"/>
    <w:autoRedefine/>
    <w:qFormat/>
    <w:rsid w:val="002034B7"/>
    <w:pPr>
      <w:spacing w:before="240" w:after="120"/>
    </w:pPr>
    <w:rPr>
      <w:rFonts w:ascii="Arial" w:eastAsia="Times New Roman" w:hAnsi="Arial" w:cs="Arial"/>
      <w:b/>
      <w:color w:val="484D52" w:themeColor="text1"/>
      <w:sz w:val="20"/>
      <w:szCs w:val="20"/>
      <w:lang w:eastAsia="en-GB"/>
    </w:rPr>
  </w:style>
  <w:style w:type="paragraph" w:customStyle="1" w:styleId="Header1-underline">
    <w:name w:val="Header 1 - underline"/>
    <w:autoRedefine/>
    <w:qFormat/>
    <w:rsid w:val="00255322"/>
    <w:pPr>
      <w:spacing w:before="100" w:beforeAutospacing="1" w:line="360" w:lineRule="auto"/>
    </w:pPr>
    <w:rPr>
      <w:rFonts w:ascii="Arial" w:eastAsia="Times New Roman" w:hAnsi="Arial" w:cs="Arial"/>
      <w:b/>
      <w:bCs/>
      <w:color w:val="00598E" w:themeColor="text2"/>
      <w:sz w:val="28"/>
      <w:szCs w:val="28"/>
      <w:u w:val="single" w:color="FF7232" w:themeColor="accent3"/>
      <w:lang w:eastAsia="en-GB"/>
    </w:rPr>
  </w:style>
  <w:style w:type="character" w:styleId="SubtleReference">
    <w:name w:val="Subtle Reference"/>
    <w:basedOn w:val="DefaultParagraphFont"/>
    <w:uiPriority w:val="31"/>
    <w:rsid w:val="00561548"/>
    <w:rPr>
      <w:smallCaps/>
      <w:color w:val="848B93" w:themeColor="text1" w:themeTint="A5"/>
    </w:rPr>
  </w:style>
  <w:style w:type="paragraph" w:customStyle="1" w:styleId="Subheader2">
    <w:name w:val="Subheader 2"/>
    <w:basedOn w:val="Normal"/>
    <w:next w:val="Normal"/>
    <w:qFormat/>
    <w:rsid w:val="003D171C"/>
    <w:rPr>
      <w:b/>
      <w:bCs/>
      <w:color w:val="00598E" w:themeColor="text2"/>
      <w:szCs w:val="20"/>
    </w:rPr>
  </w:style>
  <w:style w:type="paragraph" w:customStyle="1" w:styleId="HeaderText">
    <w:name w:val="HeaderText"/>
    <w:basedOn w:val="Normal"/>
    <w:link w:val="HeaderTextChar"/>
    <w:qFormat/>
    <w:rsid w:val="00D63A7A"/>
    <w:pPr>
      <w:spacing w:before="0" w:after="0"/>
      <w:ind w:hanging="425"/>
    </w:pPr>
    <w:rPr>
      <w:color w:val="4378A8" w:themeColor="accent2"/>
      <w:sz w:val="16"/>
      <w:szCs w:val="16"/>
    </w:rPr>
  </w:style>
  <w:style w:type="character" w:customStyle="1" w:styleId="HeaderTextChar">
    <w:name w:val="HeaderText Char"/>
    <w:basedOn w:val="DefaultParagraphFont"/>
    <w:link w:val="HeaderText"/>
    <w:rsid w:val="00D63A7A"/>
    <w:rPr>
      <w:rFonts w:ascii="Arial" w:eastAsia="Times New Roman" w:hAnsi="Arial" w:cs="Times New Roman"/>
      <w:color w:val="4378A8" w:themeColor="accent2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A5BE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BD2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asgovernance.co.uk/0842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.huddle.net/workspace/39153162/files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.huddle.net/workspace/39153162/fil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y.huddle.net/workspace/39153162/fil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NA">
      <a:dk1>
        <a:srgbClr val="484D52"/>
      </a:dk1>
      <a:lt1>
        <a:sysClr val="window" lastClr="FFFFFF"/>
      </a:lt1>
      <a:dk2>
        <a:srgbClr val="00598E"/>
      </a:dk2>
      <a:lt2>
        <a:srgbClr val="A6ACA9"/>
      </a:lt2>
      <a:accent1>
        <a:srgbClr val="00598E"/>
      </a:accent1>
      <a:accent2>
        <a:srgbClr val="4378A8"/>
      </a:accent2>
      <a:accent3>
        <a:srgbClr val="FF7232"/>
      </a:accent3>
      <a:accent4>
        <a:srgbClr val="009FE3"/>
      </a:accent4>
      <a:accent5>
        <a:srgbClr val="FFE600"/>
      </a:accent5>
      <a:accent6>
        <a:srgbClr val="BECC00"/>
      </a:accent6>
      <a:hlink>
        <a:srgbClr val="4378A8"/>
      </a:hlink>
      <a:folHlink>
        <a:srgbClr val="437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9CB0D2B30E148A7988E9920D3A83D" ma:contentTypeVersion="2" ma:contentTypeDescription="Create a new document." ma:contentTypeScope="" ma:versionID="90e6ec2cff0b497f79987f237fad2873">
  <xsd:schema xmlns:xsd="http://www.w3.org/2001/XMLSchema" xmlns:xs="http://www.w3.org/2001/XMLSchema" xmlns:p="http://schemas.microsoft.com/office/2006/metadata/properties" xmlns:ns2="102eda4e-14e3-4302-a901-9cd880e34d68" targetNamespace="http://schemas.microsoft.com/office/2006/metadata/properties" ma:root="true" ma:fieldsID="d4a9b7dad84b1121b2b933e80eef4e66" ns2:_="">
    <xsd:import namespace="102eda4e-14e3-4302-a901-9cd880e34d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eda4e-14e3-4302-a901-9cd880e34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CC5D04-1A07-4347-8B6B-35DD604D64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DBAF70-47A2-4B26-8F8A-F74C692F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8E2EC-CF12-47AA-BFE8-53DA199648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8DDE08-82CE-427F-855F-C72C22923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eda4e-14e3-4302-a901-9cd880e34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6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Sylvester</dc:creator>
  <cp:keywords/>
  <dc:description/>
  <cp:lastModifiedBy>Matt Rosenfeld</cp:lastModifiedBy>
  <cp:revision>315</cp:revision>
  <cp:lastPrinted>2020-10-16T10:33:00Z</cp:lastPrinted>
  <dcterms:created xsi:type="dcterms:W3CDTF">2022-11-16T17:12:00Z</dcterms:created>
  <dcterms:modified xsi:type="dcterms:W3CDTF">2023-04-05T13:41:00Z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0x010100C639CB0D2B30E148A7988E9920D3A83D</vt:lpwstr>
  </property>
</Properties>
</file>